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0BA7" w14:textId="668B16DD" w:rsidR="00E9487E" w:rsidRPr="00CC6E8F" w:rsidRDefault="00E9487E" w:rsidP="00062B27">
      <w:pPr>
        <w:rPr>
          <w:rFonts w:cs="Arial"/>
          <w:sz w:val="4"/>
          <w:szCs w:val="20"/>
        </w:rPr>
      </w:pPr>
      <w:bookmarkStart w:id="0" w:name="_GoBack"/>
      <w:bookmarkEnd w:id="0"/>
    </w:p>
    <w:tbl>
      <w:tblPr>
        <w:tblW w:w="10632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6E3B7F" w:rsidRPr="00E84F58" w14:paraId="068C0F19" w14:textId="77777777" w:rsidTr="00062B2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B33F31" w14:textId="69CBA997" w:rsidR="006E3B7F" w:rsidRPr="00C90210" w:rsidRDefault="006932B3" w:rsidP="00062B27">
            <w:pPr>
              <w:jc w:val="center"/>
              <w:rPr>
                <w:rFonts w:cs="Arial"/>
                <w:b/>
                <w:color w:val="C0504D"/>
                <w:sz w:val="20"/>
                <w:szCs w:val="20"/>
              </w:rPr>
            </w:pPr>
            <w:r>
              <w:rPr>
                <w:rFonts w:cs="Arial"/>
                <w:b/>
                <w:color w:val="C0504D"/>
                <w:sz w:val="20"/>
                <w:szCs w:val="20"/>
              </w:rPr>
              <w:t>THE</w:t>
            </w:r>
            <w:r w:rsidR="000548BC">
              <w:rPr>
                <w:rFonts w:cs="Arial"/>
                <w:b/>
                <w:color w:val="C0504D"/>
                <w:sz w:val="20"/>
                <w:szCs w:val="20"/>
              </w:rPr>
              <w:t xml:space="preserve"> WORLD</w:t>
            </w:r>
            <w:r>
              <w:rPr>
                <w:rFonts w:cs="Arial"/>
                <w:b/>
                <w:color w:val="C0504D"/>
                <w:sz w:val="20"/>
                <w:szCs w:val="20"/>
              </w:rPr>
              <w:t xml:space="preserve"> </w:t>
            </w:r>
            <w:r w:rsidR="0057165C">
              <w:rPr>
                <w:rFonts w:cs="Arial"/>
                <w:b/>
                <w:color w:val="C0504D"/>
                <w:sz w:val="20"/>
                <w:szCs w:val="20"/>
              </w:rPr>
              <w:t xml:space="preserve">IRON ORE </w:t>
            </w:r>
            <w:r w:rsidR="00F603E4" w:rsidRPr="00C90210">
              <w:rPr>
                <w:rFonts w:cs="Arial"/>
                <w:b/>
                <w:color w:val="C0504D"/>
                <w:sz w:val="20"/>
                <w:szCs w:val="20"/>
              </w:rPr>
              <w:t>M</w:t>
            </w:r>
            <w:r>
              <w:rPr>
                <w:rFonts w:cs="Arial"/>
                <w:b/>
                <w:color w:val="C0504D"/>
                <w:sz w:val="20"/>
                <w:szCs w:val="20"/>
              </w:rPr>
              <w:t>ARKET</w:t>
            </w:r>
          </w:p>
        </w:tc>
      </w:tr>
    </w:tbl>
    <w:p w14:paraId="3EDFB768" w14:textId="026A0CD5" w:rsidR="00457991" w:rsidRDefault="00457991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0A4319" w:rsidRPr="00E84F58" w14:paraId="1B27A051" w14:textId="77777777" w:rsidTr="00F55EE4">
        <w:tc>
          <w:tcPr>
            <w:tcW w:w="6661" w:type="dxa"/>
            <w:shd w:val="clear" w:color="auto" w:fill="C0504D"/>
          </w:tcPr>
          <w:p w14:paraId="263920DF" w14:textId="14861BBD" w:rsidR="000A4319" w:rsidRPr="00105648" w:rsidRDefault="000A4319" w:rsidP="000A4319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105648">
              <w:rPr>
                <w:rFonts w:cs="Arial"/>
                <w:color w:val="FFFFFF"/>
                <w:sz w:val="20"/>
                <w:szCs w:val="20"/>
              </w:rPr>
              <w:t>Major global iron ore</w:t>
            </w:r>
            <w:r w:rsidRPr="00105648">
              <w:rPr>
                <w:rFonts w:cs="Arial"/>
                <w:color w:val="FFFFFF"/>
                <w:sz w:val="20"/>
                <w:szCs w:val="20"/>
                <w:vertAlign w:val="superscript"/>
              </w:rPr>
              <w:t>1</w:t>
            </w:r>
            <w:r w:rsidRPr="00105648">
              <w:rPr>
                <w:rFonts w:cs="Arial"/>
                <w:color w:val="FFFFFF"/>
                <w:sz w:val="20"/>
                <w:szCs w:val="20"/>
              </w:rPr>
              <w:t xml:space="preserve"> suppliers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1C2EC0F" w14:textId="77777777" w:rsidR="006C54AE" w:rsidRPr="00583806" w:rsidRDefault="006C54AE" w:rsidP="006C54AE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583806">
              <w:rPr>
                <w:rFonts w:cs="Arial"/>
                <w:sz w:val="18"/>
                <w:szCs w:val="20"/>
              </w:rPr>
              <w:t>Western Australia accounted for two</w:t>
            </w:r>
            <w:r w:rsidRPr="00583806">
              <w:rPr>
                <w:rFonts w:cs="Arial"/>
                <w:sz w:val="18"/>
                <w:szCs w:val="20"/>
              </w:rPr>
              <w:noBreakHyphen/>
              <w:t>thirds of the world’s additional iron ore supply between 2009 and 2019.</w:t>
            </w:r>
          </w:p>
          <w:p w14:paraId="1DE6BC44" w14:textId="2196D482" w:rsidR="006C54AE" w:rsidRPr="007E1B70" w:rsidRDefault="006C54AE" w:rsidP="006C54AE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Western Australia is the largest iron ore supplier in the world, accounting for 3</w:t>
            </w:r>
            <w:r w:rsidR="00583806" w:rsidRPr="007E1B70">
              <w:rPr>
                <w:rFonts w:cs="Arial"/>
                <w:sz w:val="18"/>
                <w:szCs w:val="20"/>
              </w:rPr>
              <w:t>8</w:t>
            </w:r>
            <w:r w:rsidRPr="007E1B70">
              <w:rPr>
                <w:rFonts w:cs="Arial"/>
                <w:sz w:val="18"/>
                <w:szCs w:val="20"/>
              </w:rPr>
              <w:t>% of global supply</w:t>
            </w:r>
            <w:r w:rsidR="00583806" w:rsidRPr="007E1B70">
              <w:rPr>
                <w:rFonts w:cs="Arial"/>
                <w:sz w:val="18"/>
                <w:szCs w:val="20"/>
              </w:rPr>
              <w:t xml:space="preserve"> in 2019, followed by Brazil (17</w:t>
            </w:r>
            <w:r w:rsidRPr="007E1B70">
              <w:rPr>
                <w:rFonts w:cs="Arial"/>
                <w:sz w:val="18"/>
                <w:szCs w:val="20"/>
              </w:rPr>
              <w:t>%).</w:t>
            </w:r>
          </w:p>
          <w:p w14:paraId="37D134C0" w14:textId="7A1C7B7A" w:rsidR="006C54AE" w:rsidRPr="007E1B70" w:rsidRDefault="006C54AE" w:rsidP="006C54AE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China (12%), India (10%) and Russia</w:t>
            </w:r>
            <w:r w:rsidR="00176A53" w:rsidRPr="007E1B70">
              <w:rPr>
                <w:rFonts w:cs="Arial"/>
                <w:sz w:val="18"/>
                <w:szCs w:val="20"/>
              </w:rPr>
              <w:t>n Federation</w:t>
            </w:r>
            <w:r w:rsidRPr="007E1B70">
              <w:rPr>
                <w:rFonts w:cs="Arial"/>
                <w:sz w:val="18"/>
                <w:szCs w:val="20"/>
              </w:rPr>
              <w:t xml:space="preserve"> (5%) are major global iron ore suppliers, but retain most of their production for domestic steel manufacturing.</w:t>
            </w:r>
          </w:p>
          <w:p w14:paraId="6FE17E7E" w14:textId="77777777" w:rsidR="006C54AE" w:rsidRPr="007E1B70" w:rsidRDefault="006C54AE" w:rsidP="006C54AE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In 2019, iron ore supply from:</w:t>
            </w:r>
          </w:p>
          <w:p w14:paraId="38BE9252" w14:textId="61FE2832" w:rsidR="006C54AE" w:rsidRPr="007E1B70" w:rsidRDefault="00176A53" w:rsidP="006C54AE">
            <w:pPr>
              <w:numPr>
                <w:ilvl w:val="1"/>
                <w:numId w:val="12"/>
              </w:numPr>
              <w:ind w:left="743"/>
              <w:rPr>
                <w:rFonts w:cs="Arial"/>
                <w:sz w:val="18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Western Australia fell 1% to 879</w:t>
            </w:r>
            <w:r w:rsidR="006C54AE" w:rsidRPr="007E1B70">
              <w:rPr>
                <w:rFonts w:cs="Arial"/>
                <w:sz w:val="18"/>
                <w:szCs w:val="20"/>
              </w:rPr>
              <w:t>Mt.</w:t>
            </w:r>
          </w:p>
          <w:p w14:paraId="02003905" w14:textId="2A229DF1" w:rsidR="006C54AE" w:rsidRPr="007E1B70" w:rsidRDefault="00176A53" w:rsidP="006C54AE">
            <w:pPr>
              <w:numPr>
                <w:ilvl w:val="1"/>
                <w:numId w:val="12"/>
              </w:numPr>
              <w:ind w:left="743"/>
              <w:rPr>
                <w:rFonts w:cs="Arial"/>
                <w:sz w:val="18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Brazil fell 13% to 389</w:t>
            </w:r>
            <w:r w:rsidR="006C54AE" w:rsidRPr="007E1B70">
              <w:rPr>
                <w:rFonts w:cs="Arial"/>
                <w:sz w:val="18"/>
                <w:szCs w:val="20"/>
              </w:rPr>
              <w:t>Mt.</w:t>
            </w:r>
          </w:p>
          <w:p w14:paraId="5D983780" w14:textId="61E718B2" w:rsidR="006C54AE" w:rsidRPr="007E1B70" w:rsidRDefault="00176A53" w:rsidP="006C54AE">
            <w:pPr>
              <w:numPr>
                <w:ilvl w:val="1"/>
                <w:numId w:val="12"/>
              </w:numPr>
              <w:ind w:left="743"/>
              <w:rPr>
                <w:rFonts w:cs="Arial"/>
                <w:sz w:val="20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China rose 13% to 270</w:t>
            </w:r>
            <w:r w:rsidR="006C54AE" w:rsidRPr="007E1B70">
              <w:rPr>
                <w:rFonts w:cs="Arial"/>
                <w:sz w:val="18"/>
                <w:szCs w:val="20"/>
              </w:rPr>
              <w:t>Mt.</w:t>
            </w:r>
          </w:p>
          <w:p w14:paraId="0ACDFB20" w14:textId="33961CAB" w:rsidR="000A4319" w:rsidRPr="007E1B70" w:rsidRDefault="006C54AE" w:rsidP="006C54AE">
            <w:pPr>
              <w:numPr>
                <w:ilvl w:val="1"/>
                <w:numId w:val="12"/>
              </w:numPr>
              <w:ind w:left="743"/>
              <w:rPr>
                <w:rFonts w:cs="Arial"/>
                <w:sz w:val="20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India rose 15% to 235Mt.</w:t>
            </w:r>
          </w:p>
        </w:tc>
      </w:tr>
      <w:tr w:rsidR="000A4319" w:rsidRPr="00E84F58" w14:paraId="368C4CCD" w14:textId="77777777" w:rsidTr="00F55EE4">
        <w:tc>
          <w:tcPr>
            <w:tcW w:w="6661" w:type="dxa"/>
            <w:shd w:val="clear" w:color="auto" w:fill="auto"/>
          </w:tcPr>
          <w:p w14:paraId="5A3E04E9" w14:textId="7E59B364" w:rsidR="000A4319" w:rsidRPr="00E84F58" w:rsidRDefault="00944F7E" w:rsidP="000A43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07BCB0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pt;height:165pt;mso-left-percent:-10001;mso-top-percent:-10001;mso-position-horizontal:absolute;mso-position-horizontal-relative:char;mso-position-vertical:absolute;mso-position-vertical-relative:line;mso-left-percent:-10001;mso-top-percent:-10001">
                  <v:imagedata r:id="rId12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184F5569" w14:textId="77777777" w:rsidR="000A4319" w:rsidRPr="00E84F58" w:rsidRDefault="000A4319" w:rsidP="000A4319">
            <w:pPr>
              <w:rPr>
                <w:rFonts w:cs="Arial"/>
                <w:sz w:val="20"/>
                <w:szCs w:val="20"/>
              </w:rPr>
            </w:pPr>
          </w:p>
        </w:tc>
      </w:tr>
      <w:tr w:rsidR="000A4319" w:rsidRPr="00E84F58" w14:paraId="16A731B1" w14:textId="77777777" w:rsidTr="00F55EE4">
        <w:tc>
          <w:tcPr>
            <w:tcW w:w="6661" w:type="dxa"/>
            <w:shd w:val="clear" w:color="auto" w:fill="auto"/>
          </w:tcPr>
          <w:p w14:paraId="595CDF64" w14:textId="77777777" w:rsidR="00EE01CD" w:rsidRPr="00583806" w:rsidRDefault="00EE01CD" w:rsidP="00EE01CD">
            <w:pPr>
              <w:rPr>
                <w:rFonts w:cs="Arial"/>
                <w:sz w:val="10"/>
                <w:szCs w:val="20"/>
              </w:rPr>
            </w:pPr>
            <w:r w:rsidRPr="00583806">
              <w:rPr>
                <w:rFonts w:cs="Arial"/>
                <w:sz w:val="10"/>
                <w:szCs w:val="20"/>
                <w:vertAlign w:val="superscript"/>
              </w:rPr>
              <w:t>1</w:t>
            </w:r>
            <w:r w:rsidRPr="00583806">
              <w:rPr>
                <w:rFonts w:cs="Arial"/>
                <w:sz w:val="10"/>
                <w:szCs w:val="20"/>
              </w:rPr>
              <w:t xml:space="preserve"> Mined iron ore.</w:t>
            </w:r>
          </w:p>
          <w:p w14:paraId="0B1F244B" w14:textId="365BF405" w:rsidR="000A4319" w:rsidRPr="00583806" w:rsidRDefault="00EE01CD" w:rsidP="00EE01CD">
            <w:pPr>
              <w:rPr>
                <w:rFonts w:cs="Arial"/>
                <w:sz w:val="10"/>
                <w:szCs w:val="20"/>
              </w:rPr>
            </w:pPr>
            <w:r w:rsidRPr="00583806">
              <w:rPr>
                <w:rFonts w:cs="Arial"/>
                <w:sz w:val="10"/>
                <w:szCs w:val="20"/>
              </w:rPr>
              <w:t>Source: Wood Mackenzie, Global Iron Ore Markets Long-term Outlook Data</w:t>
            </w:r>
            <w:r w:rsidR="00583806" w:rsidRPr="00583806">
              <w:rPr>
                <w:rFonts w:cs="Arial"/>
                <w:sz w:val="10"/>
                <w:szCs w:val="20"/>
              </w:rPr>
              <w:t xml:space="preserve"> 2020 Q3</w:t>
            </w:r>
            <w:r w:rsidRPr="00583806">
              <w:rPr>
                <w:rFonts w:cs="Arial"/>
                <w:sz w:val="1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44C00C5D" w14:textId="77777777" w:rsidR="000A4319" w:rsidRPr="00E84F58" w:rsidRDefault="000A4319" w:rsidP="000A431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39376E5" w14:textId="3DD70425" w:rsidR="00EC4CF3" w:rsidRDefault="00EC4CF3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EC4CF3" w:rsidRPr="00E84F58" w14:paraId="76E0B2EE" w14:textId="77777777" w:rsidTr="00F55EE4">
        <w:tc>
          <w:tcPr>
            <w:tcW w:w="6661" w:type="dxa"/>
            <w:shd w:val="clear" w:color="auto" w:fill="C0504D"/>
          </w:tcPr>
          <w:p w14:paraId="338333FA" w14:textId="09CD5E15" w:rsidR="00EC4CF3" w:rsidRPr="00E84F58" w:rsidRDefault="004B75C5" w:rsidP="004B75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Asia</w:t>
            </w:r>
            <w:r w:rsidR="00C84E47">
              <w:rPr>
                <w:rFonts w:cs="Arial"/>
                <w:color w:val="FFFFFF"/>
                <w:sz w:val="20"/>
                <w:szCs w:val="20"/>
              </w:rPr>
              <w:t>n</w:t>
            </w:r>
            <w:r w:rsidR="00EC4CF3">
              <w:rPr>
                <w:rFonts w:cs="Arial"/>
                <w:color w:val="FFFFFF"/>
                <w:sz w:val="20"/>
                <w:szCs w:val="20"/>
              </w:rPr>
              <w:t xml:space="preserve"> i</w:t>
            </w:r>
            <w:r w:rsidR="00EC4CF3" w:rsidRPr="00C90210">
              <w:rPr>
                <w:rFonts w:cs="Arial"/>
                <w:color w:val="FFFFFF"/>
                <w:sz w:val="20"/>
                <w:szCs w:val="20"/>
              </w:rPr>
              <w:t>ron ore</w:t>
            </w:r>
            <w:r w:rsidR="00F76E3B" w:rsidRPr="00F76E3B">
              <w:rPr>
                <w:rFonts w:cs="Arial"/>
                <w:color w:val="FFFFFF"/>
                <w:sz w:val="20"/>
                <w:szCs w:val="20"/>
                <w:vertAlign w:val="superscript"/>
              </w:rPr>
              <w:t>1</w:t>
            </w:r>
            <w:r w:rsidR="00EC4CF3" w:rsidRPr="00C90210">
              <w:rPr>
                <w:rFonts w:cs="Arial"/>
                <w:color w:val="FFFFFF"/>
                <w:sz w:val="20"/>
                <w:szCs w:val="20"/>
              </w:rPr>
              <w:t xml:space="preserve"> demand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1342919" w14:textId="3DB13C8C" w:rsidR="006C54AE" w:rsidRPr="00DE0972" w:rsidRDefault="006C54AE" w:rsidP="006C54AE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DE0972">
              <w:rPr>
                <w:rFonts w:cs="Arial"/>
                <w:sz w:val="18"/>
                <w:szCs w:val="20"/>
              </w:rPr>
              <w:t>Asia accounted for 78% of global iron or</w:t>
            </w:r>
            <w:r w:rsidR="00757861" w:rsidRPr="00DE0972">
              <w:rPr>
                <w:rFonts w:cs="Arial"/>
                <w:sz w:val="18"/>
                <w:szCs w:val="20"/>
              </w:rPr>
              <w:t>e demand in 2019, with China (57</w:t>
            </w:r>
            <w:r w:rsidRPr="00DE0972">
              <w:rPr>
                <w:rFonts w:cs="Arial"/>
                <w:sz w:val="18"/>
                <w:szCs w:val="20"/>
              </w:rPr>
              <w:t>%), India (9%), Japan (5%) and South Korea (3%) having the largest shares.</w:t>
            </w:r>
          </w:p>
          <w:p w14:paraId="49194A72" w14:textId="0EFD5949" w:rsidR="006C54AE" w:rsidRPr="007E1B70" w:rsidRDefault="006C54AE" w:rsidP="006C54AE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 xml:space="preserve">In 2019, Asia’s iron ore demand </w:t>
            </w:r>
            <w:r w:rsidR="00DE0972" w:rsidRPr="007E1B70">
              <w:rPr>
                <w:rFonts w:cs="Arial"/>
                <w:sz w:val="18"/>
                <w:szCs w:val="20"/>
              </w:rPr>
              <w:t>rose 4% to 1,690</w:t>
            </w:r>
            <w:r w:rsidRPr="007E1B70">
              <w:rPr>
                <w:rFonts w:cs="Arial"/>
                <w:sz w:val="18"/>
                <w:szCs w:val="20"/>
              </w:rPr>
              <w:t>Mt. Within Asia, iron ore demand from:</w:t>
            </w:r>
          </w:p>
          <w:p w14:paraId="6A49D141" w14:textId="25C9CAC7" w:rsidR="006C54AE" w:rsidRPr="007E1B70" w:rsidRDefault="006C54AE" w:rsidP="006C54AE">
            <w:pPr>
              <w:numPr>
                <w:ilvl w:val="0"/>
                <w:numId w:val="21"/>
              </w:numPr>
              <w:ind w:firstLine="100"/>
              <w:rPr>
                <w:rFonts w:cs="Arial"/>
                <w:sz w:val="18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 xml:space="preserve">China rose </w:t>
            </w:r>
            <w:r w:rsidR="00962A9A" w:rsidRPr="007E1B70">
              <w:rPr>
                <w:rFonts w:cs="Arial"/>
                <w:sz w:val="18"/>
                <w:szCs w:val="20"/>
              </w:rPr>
              <w:t>4% to 1,247</w:t>
            </w:r>
            <w:r w:rsidRPr="007E1B70">
              <w:rPr>
                <w:rFonts w:cs="Arial"/>
                <w:sz w:val="18"/>
                <w:szCs w:val="20"/>
              </w:rPr>
              <w:t>Mt.</w:t>
            </w:r>
          </w:p>
          <w:p w14:paraId="2CED87C0" w14:textId="77777777" w:rsidR="006C54AE" w:rsidRPr="007E1B70" w:rsidRDefault="006C54AE" w:rsidP="00A909F1">
            <w:pPr>
              <w:numPr>
                <w:ilvl w:val="0"/>
                <w:numId w:val="21"/>
              </w:numPr>
              <w:ind w:left="745" w:hanging="285"/>
              <w:rPr>
                <w:rFonts w:cs="Arial"/>
                <w:sz w:val="18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Japan, South Korea and Taiwan combined fell 2% to 209Mt.</w:t>
            </w:r>
          </w:p>
          <w:p w14:paraId="2F7DA220" w14:textId="0F588B70" w:rsidR="006C54AE" w:rsidRPr="007E1B70" w:rsidRDefault="00962A9A" w:rsidP="006C54AE">
            <w:pPr>
              <w:numPr>
                <w:ilvl w:val="0"/>
                <w:numId w:val="21"/>
              </w:numPr>
              <w:ind w:firstLine="100"/>
              <w:rPr>
                <w:rFonts w:cs="Arial"/>
                <w:sz w:val="18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 xml:space="preserve">Rest of Asia rose </w:t>
            </w:r>
            <w:r w:rsidR="0051034A" w:rsidRPr="007E1B70">
              <w:rPr>
                <w:rFonts w:cs="Arial"/>
                <w:sz w:val="18"/>
                <w:szCs w:val="20"/>
              </w:rPr>
              <w:t>5</w:t>
            </w:r>
            <w:r w:rsidRPr="007E1B70">
              <w:rPr>
                <w:rFonts w:cs="Arial"/>
                <w:sz w:val="18"/>
                <w:szCs w:val="20"/>
              </w:rPr>
              <w:t>% to 233</w:t>
            </w:r>
            <w:r w:rsidR="006C54AE" w:rsidRPr="007E1B70">
              <w:rPr>
                <w:rFonts w:cs="Arial"/>
                <w:sz w:val="18"/>
                <w:szCs w:val="20"/>
              </w:rPr>
              <w:t>Mt.</w:t>
            </w:r>
          </w:p>
          <w:p w14:paraId="47B7F28C" w14:textId="2B461738" w:rsidR="00242291" w:rsidRPr="007E1B70" w:rsidRDefault="006C54AE" w:rsidP="00962A9A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 xml:space="preserve">Wood Mackenzie forecasts Asia’s iron ore demand will fall by </w:t>
            </w:r>
            <w:r w:rsidR="00D1125B" w:rsidRPr="007E1B70">
              <w:rPr>
                <w:rFonts w:cs="Arial"/>
                <w:sz w:val="18"/>
                <w:szCs w:val="20"/>
              </w:rPr>
              <w:t>59</w:t>
            </w:r>
            <w:r w:rsidRPr="007E1B70">
              <w:rPr>
                <w:rFonts w:cs="Arial"/>
                <w:sz w:val="18"/>
                <w:szCs w:val="20"/>
              </w:rPr>
              <w:t xml:space="preserve"> million tonnes from 2019 to 2039.</w:t>
            </w:r>
            <w:r w:rsidR="00D1125B" w:rsidRPr="007E1B70">
              <w:rPr>
                <w:rFonts w:cs="Arial"/>
                <w:sz w:val="18"/>
                <w:szCs w:val="20"/>
              </w:rPr>
              <w:t xml:space="preserve"> Lower demand in China (down 249</w:t>
            </w:r>
            <w:r w:rsidRPr="007E1B70">
              <w:rPr>
                <w:rFonts w:cs="Arial"/>
                <w:sz w:val="18"/>
                <w:szCs w:val="20"/>
              </w:rPr>
              <w:t>Mt) and Japan, South Ko</w:t>
            </w:r>
            <w:r w:rsidR="00D1125B" w:rsidRPr="007E1B70">
              <w:rPr>
                <w:rFonts w:cs="Arial"/>
                <w:sz w:val="18"/>
                <w:szCs w:val="20"/>
              </w:rPr>
              <w:t>rea and Taiwan combined (down 28</w:t>
            </w:r>
            <w:r w:rsidRPr="007E1B70">
              <w:rPr>
                <w:rFonts w:cs="Arial"/>
                <w:sz w:val="18"/>
                <w:szCs w:val="20"/>
              </w:rPr>
              <w:t>Mt) will be largely offset by gr</w:t>
            </w:r>
            <w:r w:rsidR="00D1125B" w:rsidRPr="007E1B70">
              <w:rPr>
                <w:rFonts w:cs="Arial"/>
                <w:sz w:val="18"/>
                <w:szCs w:val="20"/>
              </w:rPr>
              <w:t>owth in the rest of Asia (up 217</w:t>
            </w:r>
            <w:r w:rsidRPr="007E1B70">
              <w:rPr>
                <w:rFonts w:cs="Arial"/>
                <w:sz w:val="18"/>
                <w:szCs w:val="20"/>
              </w:rPr>
              <w:t>Mt).</w:t>
            </w:r>
          </w:p>
        </w:tc>
      </w:tr>
      <w:tr w:rsidR="00EC4CF3" w:rsidRPr="00E84F58" w14:paraId="494B7D22" w14:textId="77777777" w:rsidTr="00F55EE4">
        <w:tc>
          <w:tcPr>
            <w:tcW w:w="6661" w:type="dxa"/>
            <w:shd w:val="clear" w:color="auto" w:fill="auto"/>
          </w:tcPr>
          <w:p w14:paraId="253D5F01" w14:textId="647F48DC" w:rsidR="00EC4CF3" w:rsidRPr="00E84F58" w:rsidRDefault="00944F7E" w:rsidP="00F55E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46F25775">
                <v:shape id="_x0000_i1026" type="#_x0000_t75" style="width:291.65pt;height:165pt;mso-left-percent:-10001;mso-top-percent:-10001;mso-position-horizontal:absolute;mso-position-horizontal-relative:char;mso-position-vertical:absolute;mso-position-vertical-relative:line;mso-left-percent:-10001;mso-top-percent:-10001">
                  <v:imagedata r:id="rId13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3E727DA8" w14:textId="77777777" w:rsidR="00EC4CF3" w:rsidRPr="00E84F58" w:rsidRDefault="00EC4CF3" w:rsidP="00F55EE4">
            <w:pPr>
              <w:rPr>
                <w:rFonts w:cs="Arial"/>
                <w:sz w:val="20"/>
                <w:szCs w:val="20"/>
              </w:rPr>
            </w:pPr>
          </w:p>
        </w:tc>
      </w:tr>
      <w:tr w:rsidR="00FB60C8" w:rsidRPr="00E84F58" w14:paraId="249D16FF" w14:textId="77777777" w:rsidTr="00F55EE4">
        <w:tc>
          <w:tcPr>
            <w:tcW w:w="6661" w:type="dxa"/>
            <w:shd w:val="clear" w:color="auto" w:fill="auto"/>
          </w:tcPr>
          <w:p w14:paraId="29E11492" w14:textId="77777777" w:rsidR="00FB60C8" w:rsidRPr="0011066B" w:rsidRDefault="00FB60C8" w:rsidP="00FB60C8">
            <w:pPr>
              <w:rPr>
                <w:rFonts w:cs="Arial"/>
                <w:sz w:val="10"/>
                <w:szCs w:val="20"/>
              </w:rPr>
            </w:pPr>
            <w:r w:rsidRPr="0011066B">
              <w:rPr>
                <w:rFonts w:cs="Arial"/>
                <w:sz w:val="10"/>
                <w:szCs w:val="20"/>
                <w:vertAlign w:val="superscript"/>
              </w:rPr>
              <w:t>1</w:t>
            </w:r>
            <w:r w:rsidRPr="0011066B">
              <w:rPr>
                <w:rFonts w:cs="Arial"/>
                <w:sz w:val="10"/>
                <w:szCs w:val="20"/>
              </w:rPr>
              <w:t xml:space="preserve"> Total iron ore consumption. (a) India, Indonesia, Vietnam and other Asian countries.</w:t>
            </w:r>
          </w:p>
          <w:p w14:paraId="700C58CA" w14:textId="57BA3488" w:rsidR="00FB60C8" w:rsidRPr="0011066B" w:rsidRDefault="00FB60C8" w:rsidP="00FB60C8">
            <w:pPr>
              <w:rPr>
                <w:rFonts w:cs="Arial"/>
                <w:sz w:val="10"/>
                <w:szCs w:val="20"/>
              </w:rPr>
            </w:pPr>
            <w:r w:rsidRPr="0011066B">
              <w:rPr>
                <w:rFonts w:cs="Arial"/>
                <w:sz w:val="10"/>
                <w:szCs w:val="20"/>
              </w:rPr>
              <w:t>Source: Wood Mackenzie, Global Iron Ore Market</w:t>
            </w:r>
            <w:r w:rsidR="00824A61" w:rsidRPr="0011066B">
              <w:rPr>
                <w:rFonts w:cs="Arial"/>
                <w:sz w:val="10"/>
                <w:szCs w:val="20"/>
              </w:rPr>
              <w:t>s Long-term Outlook Data 2020 Q3</w:t>
            </w:r>
            <w:r w:rsidRPr="0011066B">
              <w:rPr>
                <w:rFonts w:cs="Arial"/>
                <w:sz w:val="1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24B73C9D" w14:textId="77777777" w:rsidR="00FB60C8" w:rsidRPr="00E84F58" w:rsidRDefault="00FB60C8" w:rsidP="00FB60C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CC6C44C" w14:textId="24C46402" w:rsidR="00EC4CF3" w:rsidRDefault="00EC4CF3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E425FC" w:rsidRPr="00E84F58" w14:paraId="6832AD45" w14:textId="77777777" w:rsidTr="008369FC">
        <w:tc>
          <w:tcPr>
            <w:tcW w:w="6661" w:type="dxa"/>
            <w:shd w:val="clear" w:color="auto" w:fill="C0504D"/>
          </w:tcPr>
          <w:p w14:paraId="0737E7EC" w14:textId="37590AAE" w:rsidR="00E425FC" w:rsidRPr="00C90210" w:rsidRDefault="00DF5B54" w:rsidP="009E193B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C90210">
              <w:rPr>
                <w:rFonts w:cs="Arial"/>
                <w:color w:val="FFFFFF"/>
                <w:sz w:val="20"/>
                <w:szCs w:val="20"/>
              </w:rPr>
              <w:t>Iron ore</w:t>
            </w:r>
            <w:r w:rsidR="009E193B" w:rsidRPr="00583B1D">
              <w:rPr>
                <w:rFonts w:cs="Arial"/>
                <w:color w:val="FFFFFF"/>
                <w:sz w:val="20"/>
                <w:szCs w:val="20"/>
                <w:vertAlign w:val="superscript"/>
              </w:rPr>
              <w:t>1</w:t>
            </w:r>
            <w:r w:rsidRPr="00C90210">
              <w:rPr>
                <w:rFonts w:cs="Arial"/>
                <w:color w:val="FFFFFF"/>
                <w:sz w:val="20"/>
                <w:szCs w:val="20"/>
              </w:rPr>
              <w:t xml:space="preserve"> </w:t>
            </w:r>
            <w:r w:rsidR="00D63193">
              <w:rPr>
                <w:rFonts w:cs="Arial"/>
                <w:color w:val="FFFFFF"/>
                <w:sz w:val="20"/>
                <w:szCs w:val="20"/>
              </w:rPr>
              <w:t>and steel product</w:t>
            </w:r>
            <w:r w:rsidR="008E2CE7" w:rsidRPr="008E2CE7">
              <w:rPr>
                <w:rFonts w:cs="Arial"/>
                <w:color w:val="FFFFFF"/>
                <w:sz w:val="20"/>
                <w:szCs w:val="20"/>
                <w:vertAlign w:val="superscript"/>
              </w:rPr>
              <w:t>2</w:t>
            </w:r>
            <w:r w:rsidR="00D63193">
              <w:rPr>
                <w:rFonts w:cs="Arial"/>
                <w:color w:val="FFFFFF"/>
                <w:sz w:val="20"/>
                <w:szCs w:val="20"/>
              </w:rPr>
              <w:t xml:space="preserve"> </w:t>
            </w:r>
            <w:r w:rsidRPr="00C90210">
              <w:rPr>
                <w:rFonts w:cs="Arial"/>
                <w:color w:val="FFFFFF"/>
                <w:sz w:val="20"/>
                <w:szCs w:val="20"/>
              </w:rPr>
              <w:t>p</w:t>
            </w:r>
            <w:r w:rsidR="00E425FC" w:rsidRPr="00C90210">
              <w:rPr>
                <w:rFonts w:cs="Arial"/>
                <w:color w:val="FFFFFF"/>
                <w:sz w:val="20"/>
                <w:szCs w:val="20"/>
              </w:rPr>
              <w:t>rice</w:t>
            </w:r>
            <w:r w:rsidR="00D63193">
              <w:rPr>
                <w:rFonts w:cs="Arial"/>
                <w:color w:val="FFFFFF"/>
                <w:sz w:val="20"/>
                <w:szCs w:val="20"/>
              </w:rPr>
              <w:t>s</w:t>
            </w:r>
            <w:r w:rsidR="009E1623">
              <w:rPr>
                <w:rFonts w:cs="Arial"/>
                <w:color w:val="FFFFFF"/>
                <w:sz w:val="20"/>
                <w:szCs w:val="20"/>
              </w:rPr>
              <w:t xml:space="preserve"> (annual average)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70AFB82" w14:textId="5BCAB100" w:rsidR="002F5ACE" w:rsidRDefault="002F5ACE" w:rsidP="002F5ACE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781C7A">
              <w:rPr>
                <w:rFonts w:cs="Arial"/>
                <w:sz w:val="18"/>
                <w:szCs w:val="20"/>
              </w:rPr>
              <w:t>In 201</w:t>
            </w:r>
            <w:r w:rsidR="00FB4120" w:rsidRPr="00781C7A">
              <w:rPr>
                <w:rFonts w:cs="Arial"/>
                <w:sz w:val="18"/>
                <w:szCs w:val="20"/>
              </w:rPr>
              <w:t>9-20</w:t>
            </w:r>
            <w:r w:rsidRPr="00781C7A">
              <w:rPr>
                <w:rFonts w:cs="Arial"/>
                <w:sz w:val="18"/>
                <w:szCs w:val="20"/>
              </w:rPr>
              <w:t xml:space="preserve">, the </w:t>
            </w:r>
            <w:r w:rsidR="00FB4120" w:rsidRPr="00781C7A">
              <w:rPr>
                <w:rFonts w:cs="Arial"/>
                <w:sz w:val="18"/>
                <w:szCs w:val="20"/>
              </w:rPr>
              <w:t>iron ore price rose 16% to US$94</w:t>
            </w:r>
            <w:r w:rsidRPr="00781C7A">
              <w:rPr>
                <w:rFonts w:cs="Arial"/>
                <w:sz w:val="18"/>
                <w:szCs w:val="20"/>
              </w:rPr>
              <w:t xml:space="preserve"> a tonne, </w:t>
            </w:r>
            <w:r w:rsidR="00FB4120" w:rsidRPr="00781C7A">
              <w:rPr>
                <w:rFonts w:cs="Arial"/>
                <w:sz w:val="18"/>
                <w:szCs w:val="20"/>
              </w:rPr>
              <w:t>despite s</w:t>
            </w:r>
            <w:r w:rsidRPr="00781C7A">
              <w:rPr>
                <w:rFonts w:cs="Arial"/>
                <w:sz w:val="18"/>
                <w:szCs w:val="20"/>
              </w:rPr>
              <w:t>teel product prices f</w:t>
            </w:r>
            <w:r w:rsidR="00FB4120" w:rsidRPr="00781C7A">
              <w:rPr>
                <w:rFonts w:cs="Arial"/>
                <w:sz w:val="18"/>
                <w:szCs w:val="20"/>
              </w:rPr>
              <w:t>alling 8%</w:t>
            </w:r>
            <w:r w:rsidRPr="00781C7A">
              <w:rPr>
                <w:rFonts w:cs="Arial"/>
                <w:sz w:val="18"/>
                <w:szCs w:val="20"/>
              </w:rPr>
              <w:t>.</w:t>
            </w:r>
            <w:r w:rsidR="00877C8F" w:rsidRPr="00781C7A">
              <w:rPr>
                <w:rFonts w:cs="Arial"/>
                <w:sz w:val="18"/>
                <w:szCs w:val="20"/>
              </w:rPr>
              <w:t xml:space="preserve"> The disparity was </w:t>
            </w:r>
            <w:r w:rsidR="00592201" w:rsidRPr="00781C7A">
              <w:rPr>
                <w:rFonts w:cs="Arial"/>
                <w:sz w:val="18"/>
                <w:szCs w:val="20"/>
              </w:rPr>
              <w:t xml:space="preserve">largely </w:t>
            </w:r>
            <w:r w:rsidR="00877C8F" w:rsidRPr="00781C7A">
              <w:rPr>
                <w:rFonts w:cs="Arial"/>
                <w:sz w:val="18"/>
                <w:szCs w:val="20"/>
              </w:rPr>
              <w:t xml:space="preserve">due to </w:t>
            </w:r>
            <w:r w:rsidR="00B86016" w:rsidRPr="00781C7A">
              <w:rPr>
                <w:rFonts w:cs="Arial"/>
                <w:sz w:val="18"/>
                <w:szCs w:val="20"/>
              </w:rPr>
              <w:t>disruptions in global</w:t>
            </w:r>
            <w:r w:rsidR="00877C8F" w:rsidRPr="00781C7A">
              <w:rPr>
                <w:rFonts w:cs="Arial"/>
                <w:sz w:val="18"/>
                <w:szCs w:val="20"/>
              </w:rPr>
              <w:t xml:space="preserve"> iron ore supply</w:t>
            </w:r>
            <w:r w:rsidR="00F94754" w:rsidRPr="00781C7A">
              <w:rPr>
                <w:rFonts w:cs="Arial"/>
                <w:sz w:val="18"/>
                <w:szCs w:val="20"/>
              </w:rPr>
              <w:t>, particularly from Brazil</w:t>
            </w:r>
            <w:r w:rsidR="00877C8F" w:rsidRPr="00781C7A">
              <w:rPr>
                <w:rFonts w:cs="Arial"/>
                <w:sz w:val="18"/>
                <w:szCs w:val="20"/>
              </w:rPr>
              <w:t xml:space="preserve">, which </w:t>
            </w:r>
            <w:r w:rsidR="00D86BA6" w:rsidRPr="00781C7A">
              <w:rPr>
                <w:rFonts w:cs="Arial"/>
                <w:sz w:val="18"/>
                <w:szCs w:val="20"/>
              </w:rPr>
              <w:t xml:space="preserve">raised the iron ore price </w:t>
            </w:r>
            <w:r w:rsidR="00877C8F" w:rsidRPr="00781C7A">
              <w:rPr>
                <w:rFonts w:cs="Arial"/>
                <w:sz w:val="18"/>
                <w:szCs w:val="20"/>
              </w:rPr>
              <w:t xml:space="preserve">despite weaker </w:t>
            </w:r>
            <w:r w:rsidR="00D86BA6" w:rsidRPr="00781C7A">
              <w:rPr>
                <w:rFonts w:cs="Arial"/>
                <w:sz w:val="18"/>
                <w:szCs w:val="20"/>
              </w:rPr>
              <w:t>steel demand</w:t>
            </w:r>
            <w:r w:rsidR="00877C8F" w:rsidRPr="00781C7A">
              <w:rPr>
                <w:rFonts w:cs="Arial"/>
                <w:sz w:val="18"/>
                <w:szCs w:val="20"/>
              </w:rPr>
              <w:t>.</w:t>
            </w:r>
          </w:p>
          <w:p w14:paraId="7CAE221B" w14:textId="77777777" w:rsidR="00330856" w:rsidRPr="009E26B8" w:rsidRDefault="00330856" w:rsidP="00DA6213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9E26B8">
              <w:rPr>
                <w:rFonts w:cs="Arial"/>
                <w:sz w:val="18"/>
                <w:szCs w:val="20"/>
              </w:rPr>
              <w:t>In September 2020, the iron ore price rose 2% to US$124 a tonne, and steel product prices rose 1%.</w:t>
            </w:r>
          </w:p>
          <w:p w14:paraId="06C900DC" w14:textId="02554783" w:rsidR="00270EAB" w:rsidRPr="009E26B8" w:rsidRDefault="00DA6213" w:rsidP="00330856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9E26B8">
              <w:rPr>
                <w:rFonts w:cs="Arial"/>
                <w:sz w:val="18"/>
                <w:szCs w:val="20"/>
              </w:rPr>
              <w:t>The iron o</w:t>
            </w:r>
            <w:r w:rsidR="009D1523" w:rsidRPr="009E26B8">
              <w:rPr>
                <w:rFonts w:cs="Arial"/>
                <w:sz w:val="18"/>
                <w:szCs w:val="20"/>
              </w:rPr>
              <w:t xml:space="preserve">re price is forecast to </w:t>
            </w:r>
            <w:r w:rsidR="008537E7" w:rsidRPr="009E26B8">
              <w:rPr>
                <w:rFonts w:cs="Arial"/>
                <w:sz w:val="18"/>
                <w:szCs w:val="20"/>
              </w:rPr>
              <w:t>average</w:t>
            </w:r>
            <w:r w:rsidR="009D1523" w:rsidRPr="009E26B8">
              <w:rPr>
                <w:rFonts w:cs="Arial"/>
                <w:sz w:val="18"/>
                <w:szCs w:val="20"/>
              </w:rPr>
              <w:t xml:space="preserve"> US$97 a tonne in 202</w:t>
            </w:r>
            <w:r w:rsidRPr="009E26B8">
              <w:rPr>
                <w:rFonts w:cs="Arial"/>
                <w:sz w:val="18"/>
                <w:szCs w:val="20"/>
              </w:rPr>
              <w:t>0</w:t>
            </w:r>
            <w:r w:rsidR="009D1523" w:rsidRPr="009E26B8">
              <w:rPr>
                <w:rFonts w:cs="Arial"/>
                <w:sz w:val="18"/>
                <w:szCs w:val="20"/>
              </w:rPr>
              <w:t>-21, before falling to US$64 a tonne from 2021-22 to 2023</w:t>
            </w:r>
            <w:r w:rsidR="008537E7" w:rsidRPr="009E26B8">
              <w:rPr>
                <w:rFonts w:cs="Arial"/>
                <w:sz w:val="18"/>
                <w:szCs w:val="20"/>
              </w:rPr>
              <w:noBreakHyphen/>
            </w:r>
            <w:r w:rsidR="009D1523" w:rsidRPr="009E26B8">
              <w:rPr>
                <w:rFonts w:cs="Arial"/>
                <w:sz w:val="18"/>
                <w:szCs w:val="20"/>
              </w:rPr>
              <w:t>24</w:t>
            </w:r>
            <w:r w:rsidRPr="009E26B8">
              <w:rPr>
                <w:rFonts w:cs="Arial"/>
                <w:sz w:val="18"/>
                <w:szCs w:val="20"/>
              </w:rPr>
              <w:t>.</w:t>
            </w:r>
            <w:r w:rsidRPr="009E26B8">
              <w:rPr>
                <w:rFonts w:cs="Arial"/>
                <w:sz w:val="18"/>
                <w:szCs w:val="20"/>
                <w:vertAlign w:val="superscript"/>
              </w:rPr>
              <w:t>3</w:t>
            </w:r>
          </w:p>
        </w:tc>
      </w:tr>
      <w:tr w:rsidR="00E425FC" w:rsidRPr="00E84F58" w14:paraId="549819CF" w14:textId="77777777" w:rsidTr="00062B27">
        <w:tc>
          <w:tcPr>
            <w:tcW w:w="6661" w:type="dxa"/>
            <w:shd w:val="clear" w:color="auto" w:fill="auto"/>
          </w:tcPr>
          <w:p w14:paraId="7B2E167D" w14:textId="63C3E82D" w:rsidR="00E425FC" w:rsidRPr="00E84F58" w:rsidRDefault="00944F7E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67A28C1D">
                <v:shape id="_x0000_i1027" type="#_x0000_t75" style="width:302.35pt;height:181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14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3221C53A" w14:textId="77777777" w:rsidR="00E425FC" w:rsidRPr="00E84F58" w:rsidRDefault="00E425FC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E425FC" w:rsidRPr="00E84F58" w14:paraId="63A60979" w14:textId="77777777" w:rsidTr="00062B27">
        <w:tc>
          <w:tcPr>
            <w:tcW w:w="6661" w:type="dxa"/>
            <w:shd w:val="clear" w:color="auto" w:fill="auto"/>
          </w:tcPr>
          <w:p w14:paraId="7F29382E" w14:textId="6A3837A7" w:rsidR="00583B1D" w:rsidRPr="001859A9" w:rsidRDefault="00583B1D" w:rsidP="00062B27">
            <w:pPr>
              <w:rPr>
                <w:rFonts w:cs="Arial"/>
                <w:sz w:val="10"/>
                <w:szCs w:val="20"/>
              </w:rPr>
            </w:pPr>
            <w:r w:rsidRPr="001859A9">
              <w:rPr>
                <w:rFonts w:cs="Arial"/>
                <w:sz w:val="10"/>
                <w:szCs w:val="20"/>
                <w:vertAlign w:val="superscript"/>
              </w:rPr>
              <w:t>1</w:t>
            </w:r>
            <w:r w:rsidR="009E1623" w:rsidRPr="001859A9">
              <w:rPr>
                <w:rFonts w:cs="Arial"/>
                <w:sz w:val="10"/>
                <w:szCs w:val="20"/>
              </w:rPr>
              <w:t xml:space="preserve"> </w:t>
            </w:r>
            <w:r w:rsidRPr="001859A9">
              <w:rPr>
                <w:rFonts w:cs="Arial"/>
                <w:sz w:val="10"/>
                <w:szCs w:val="20"/>
              </w:rPr>
              <w:t>China spot price in nominal US dollars, cost and freight (CFR).</w:t>
            </w:r>
            <w:r w:rsidR="008E2CE7" w:rsidRPr="001859A9">
              <w:rPr>
                <w:rFonts w:cs="Arial"/>
                <w:sz w:val="10"/>
                <w:szCs w:val="20"/>
              </w:rPr>
              <w:t xml:space="preserve"> </w:t>
            </w:r>
            <w:r w:rsidR="008E2CE7" w:rsidRPr="001859A9">
              <w:rPr>
                <w:rFonts w:cs="Arial"/>
                <w:sz w:val="10"/>
                <w:szCs w:val="20"/>
                <w:vertAlign w:val="superscript"/>
              </w:rPr>
              <w:t>2</w:t>
            </w:r>
            <w:r w:rsidR="009E1623" w:rsidRPr="001859A9">
              <w:rPr>
                <w:rFonts w:cs="Arial"/>
                <w:sz w:val="10"/>
                <w:szCs w:val="20"/>
              </w:rPr>
              <w:t xml:space="preserve"> </w:t>
            </w:r>
            <w:r w:rsidR="008E2CE7" w:rsidRPr="001859A9">
              <w:rPr>
                <w:rFonts w:cs="Arial"/>
                <w:sz w:val="10"/>
                <w:szCs w:val="20"/>
              </w:rPr>
              <w:t>China steel product price index</w:t>
            </w:r>
            <w:r w:rsidR="00EA02B8" w:rsidRPr="001859A9">
              <w:rPr>
                <w:rFonts w:cs="Arial"/>
                <w:sz w:val="10"/>
                <w:szCs w:val="20"/>
              </w:rPr>
              <w:t xml:space="preserve"> (2007-08 = 100.0)</w:t>
            </w:r>
            <w:r w:rsidR="008E2CE7" w:rsidRPr="001859A9">
              <w:rPr>
                <w:rFonts w:cs="Arial"/>
                <w:sz w:val="10"/>
                <w:szCs w:val="20"/>
              </w:rPr>
              <w:t>.</w:t>
            </w:r>
          </w:p>
          <w:p w14:paraId="6A230EEF" w14:textId="6E87ECA4" w:rsidR="00E425FC" w:rsidRPr="001859A9" w:rsidRDefault="00997E8B" w:rsidP="00BB02FA">
            <w:pPr>
              <w:rPr>
                <w:rFonts w:cs="Arial"/>
                <w:sz w:val="10"/>
                <w:szCs w:val="20"/>
              </w:rPr>
            </w:pPr>
            <w:r w:rsidRPr="001859A9">
              <w:rPr>
                <w:rFonts w:cs="Arial"/>
                <w:sz w:val="10"/>
                <w:szCs w:val="20"/>
              </w:rPr>
              <w:t xml:space="preserve">Source: World Bank, Commodity Markets; </w:t>
            </w:r>
            <w:r w:rsidR="00BB02FA">
              <w:rPr>
                <w:rFonts w:cs="Arial"/>
                <w:sz w:val="10"/>
                <w:szCs w:val="20"/>
              </w:rPr>
              <w:t>CEIC, China Premium Database</w:t>
            </w:r>
            <w:r w:rsidR="000A143E">
              <w:rPr>
                <w:rFonts w:cs="Arial"/>
                <w:sz w:val="10"/>
                <w:szCs w:val="20"/>
              </w:rPr>
              <w:t xml:space="preserve">; and </w:t>
            </w:r>
            <w:r w:rsidR="009D1523" w:rsidRPr="009D1523">
              <w:rPr>
                <w:rFonts w:cs="Arial"/>
                <w:sz w:val="10"/>
                <w:szCs w:val="20"/>
                <w:vertAlign w:val="superscript"/>
              </w:rPr>
              <w:t>3</w:t>
            </w:r>
            <w:r w:rsidR="009D1523">
              <w:rPr>
                <w:rFonts w:cs="Arial"/>
                <w:sz w:val="10"/>
                <w:szCs w:val="20"/>
              </w:rPr>
              <w:t xml:space="preserve"> </w:t>
            </w:r>
            <w:r w:rsidR="001B04D4" w:rsidRPr="00452D37">
              <w:rPr>
                <w:sz w:val="10"/>
              </w:rPr>
              <w:t>WA Government State Budget 2020-21 (October 2020)</w:t>
            </w:r>
            <w:r w:rsidR="001B04D4">
              <w:rPr>
                <w:sz w:val="1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5E00E6E0" w14:textId="77777777" w:rsidR="00E425FC" w:rsidRPr="00E84F58" w:rsidRDefault="00E425FC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126437C" w14:textId="4EBC9A88" w:rsidR="00E9487E" w:rsidRPr="00CC6E8F" w:rsidRDefault="00E9487E" w:rsidP="00062B27">
      <w:pPr>
        <w:rPr>
          <w:rFonts w:cs="Arial"/>
          <w:sz w:val="4"/>
          <w:szCs w:val="20"/>
        </w:rPr>
      </w:pPr>
    </w:p>
    <w:p w14:paraId="247E9A22" w14:textId="77777777" w:rsidR="00F603E4" w:rsidRPr="00BC4065" w:rsidRDefault="00F603E4" w:rsidP="00062B27">
      <w:pPr>
        <w:rPr>
          <w:rFonts w:cs="Arial"/>
          <w:sz w:val="4"/>
          <w:szCs w:val="20"/>
        </w:rPr>
      </w:pPr>
      <w:r w:rsidRPr="00E84F58">
        <w:rPr>
          <w:rFonts w:cs="Arial"/>
          <w:sz w:val="20"/>
          <w:szCs w:val="20"/>
        </w:rPr>
        <w:br w:type="page"/>
      </w:r>
    </w:p>
    <w:tbl>
      <w:tblPr>
        <w:tblW w:w="10632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F603E4" w:rsidRPr="00E84F58" w14:paraId="1B0EF1FB" w14:textId="77777777" w:rsidTr="00637E8D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EBC5C6" w14:textId="741787F3" w:rsidR="00F603E4" w:rsidRPr="00E84F58" w:rsidRDefault="00656631" w:rsidP="00062B27">
            <w:pPr>
              <w:jc w:val="center"/>
              <w:rPr>
                <w:rFonts w:cs="Arial"/>
                <w:sz w:val="20"/>
                <w:szCs w:val="20"/>
              </w:rPr>
            </w:pPr>
            <w:r w:rsidRPr="00C90210">
              <w:rPr>
                <w:rFonts w:cs="Arial"/>
                <w:b/>
                <w:color w:val="C0504D"/>
                <w:sz w:val="20"/>
                <w:szCs w:val="20"/>
              </w:rPr>
              <w:t>WESTERN AUSTRALIA</w:t>
            </w:r>
            <w:r w:rsidR="0047053A">
              <w:rPr>
                <w:rFonts w:cs="Arial"/>
                <w:b/>
                <w:color w:val="C0504D"/>
                <w:sz w:val="20"/>
                <w:szCs w:val="20"/>
              </w:rPr>
              <w:t>’S</w:t>
            </w:r>
            <w:r w:rsidRPr="00C90210">
              <w:rPr>
                <w:rFonts w:cs="Arial"/>
                <w:b/>
                <w:color w:val="C0504D"/>
                <w:sz w:val="20"/>
                <w:szCs w:val="20"/>
              </w:rPr>
              <w:t xml:space="preserve"> COMPETITIVENESS</w:t>
            </w:r>
          </w:p>
        </w:tc>
      </w:tr>
    </w:tbl>
    <w:p w14:paraId="2765F4BD" w14:textId="4000E0CD" w:rsidR="00F603E4" w:rsidRPr="00BC4065" w:rsidRDefault="00F603E4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656631" w:rsidRPr="00E84F58" w14:paraId="4672165A" w14:textId="77777777" w:rsidTr="005C7EBB">
        <w:tc>
          <w:tcPr>
            <w:tcW w:w="6661" w:type="dxa"/>
            <w:shd w:val="clear" w:color="auto" w:fill="C0504D"/>
          </w:tcPr>
          <w:p w14:paraId="0D6AC63D" w14:textId="2864A383" w:rsidR="00656631" w:rsidRPr="00E84F58" w:rsidRDefault="00656631" w:rsidP="00062B27">
            <w:pPr>
              <w:jc w:val="center"/>
              <w:rPr>
                <w:rFonts w:cs="Arial"/>
                <w:sz w:val="20"/>
                <w:szCs w:val="20"/>
              </w:rPr>
            </w:pPr>
            <w:r w:rsidRPr="00C90210">
              <w:rPr>
                <w:rFonts w:cs="Arial"/>
                <w:color w:val="FFFFFF"/>
                <w:sz w:val="20"/>
                <w:szCs w:val="20"/>
              </w:rPr>
              <w:t>Estimated</w:t>
            </w:r>
            <w:r w:rsidR="00B2570A" w:rsidRPr="00B2570A">
              <w:rPr>
                <w:rFonts w:cs="Arial"/>
                <w:color w:val="FFFFFF"/>
                <w:sz w:val="20"/>
                <w:szCs w:val="20"/>
                <w:vertAlign w:val="superscript"/>
              </w:rPr>
              <w:t>1</w:t>
            </w:r>
            <w:r w:rsidRPr="00C90210">
              <w:rPr>
                <w:rFonts w:cs="Arial"/>
                <w:color w:val="FFFFFF"/>
                <w:sz w:val="20"/>
                <w:szCs w:val="20"/>
              </w:rPr>
              <w:t xml:space="preserve"> iron ore resources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88100F0" w14:textId="4BBD770C" w:rsidR="00BA19BD" w:rsidRPr="00F33A1F" w:rsidRDefault="00DC1BA8" w:rsidP="005C7EB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F33A1F">
              <w:rPr>
                <w:rFonts w:cs="Arial"/>
                <w:sz w:val="18"/>
                <w:szCs w:val="20"/>
              </w:rPr>
              <w:t xml:space="preserve">Western Australia </w:t>
            </w:r>
            <w:r w:rsidR="001E6EFE" w:rsidRPr="00F33A1F">
              <w:rPr>
                <w:rFonts w:cs="Arial"/>
                <w:sz w:val="18"/>
                <w:szCs w:val="20"/>
              </w:rPr>
              <w:t xml:space="preserve">has large iron ore reserves, </w:t>
            </w:r>
            <w:r w:rsidRPr="00F33A1F">
              <w:rPr>
                <w:rFonts w:cs="Arial"/>
                <w:sz w:val="18"/>
                <w:szCs w:val="20"/>
              </w:rPr>
              <w:t>account</w:t>
            </w:r>
            <w:r w:rsidR="001E6EFE" w:rsidRPr="00F33A1F">
              <w:rPr>
                <w:rFonts w:cs="Arial"/>
                <w:sz w:val="18"/>
                <w:szCs w:val="20"/>
              </w:rPr>
              <w:t xml:space="preserve">ing </w:t>
            </w:r>
            <w:r w:rsidRPr="00F33A1F">
              <w:rPr>
                <w:rFonts w:cs="Arial"/>
                <w:sz w:val="18"/>
                <w:szCs w:val="20"/>
              </w:rPr>
              <w:t xml:space="preserve">for </w:t>
            </w:r>
            <w:r w:rsidR="0079330A" w:rsidRPr="00F33A1F">
              <w:rPr>
                <w:rFonts w:cs="Arial"/>
                <w:sz w:val="18"/>
                <w:szCs w:val="20"/>
              </w:rPr>
              <w:t>2</w:t>
            </w:r>
            <w:r w:rsidR="00BD0244" w:rsidRPr="00F33A1F">
              <w:rPr>
                <w:rFonts w:cs="Arial"/>
                <w:sz w:val="18"/>
                <w:szCs w:val="20"/>
              </w:rPr>
              <w:t>8</w:t>
            </w:r>
            <w:r w:rsidRPr="00F33A1F">
              <w:rPr>
                <w:rFonts w:cs="Arial"/>
                <w:sz w:val="18"/>
                <w:szCs w:val="20"/>
              </w:rPr>
              <w:t>% of the world’s crude iron ore reserves</w:t>
            </w:r>
            <w:r w:rsidR="000D0864" w:rsidRPr="00F33A1F">
              <w:rPr>
                <w:rFonts w:cs="Arial"/>
                <w:sz w:val="18"/>
                <w:szCs w:val="20"/>
              </w:rPr>
              <w:t xml:space="preserve"> </w:t>
            </w:r>
            <w:r w:rsidRPr="00F33A1F">
              <w:rPr>
                <w:rFonts w:cs="Arial"/>
                <w:sz w:val="18"/>
                <w:szCs w:val="20"/>
              </w:rPr>
              <w:t>in 201</w:t>
            </w:r>
            <w:r w:rsidR="00BD0244" w:rsidRPr="00F33A1F">
              <w:rPr>
                <w:rFonts w:cs="Arial"/>
                <w:sz w:val="18"/>
                <w:szCs w:val="20"/>
              </w:rPr>
              <w:t>9</w:t>
            </w:r>
            <w:r w:rsidR="0043575E" w:rsidRPr="00F33A1F">
              <w:rPr>
                <w:rFonts w:cs="Arial"/>
                <w:sz w:val="18"/>
                <w:szCs w:val="20"/>
              </w:rPr>
              <w:t>.</w:t>
            </w:r>
            <w:r w:rsidR="0043575E" w:rsidRPr="00F33A1F">
              <w:rPr>
                <w:rFonts w:cs="Arial"/>
                <w:sz w:val="18"/>
                <w:szCs w:val="20"/>
                <w:vertAlign w:val="superscript"/>
              </w:rPr>
              <w:t>2</w:t>
            </w:r>
          </w:p>
          <w:p w14:paraId="0A96D233" w14:textId="224C2721" w:rsidR="00DC1BA8" w:rsidRPr="004062E5" w:rsidRDefault="00DC1BA8" w:rsidP="005C7EB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4062E5">
              <w:rPr>
                <w:rFonts w:cs="Arial"/>
                <w:sz w:val="18"/>
                <w:szCs w:val="20"/>
              </w:rPr>
              <w:t xml:space="preserve">Western Australia had an estimated </w:t>
            </w:r>
            <w:r w:rsidR="00863D93" w:rsidRPr="004062E5">
              <w:rPr>
                <w:rFonts w:cs="Arial"/>
                <w:sz w:val="18"/>
                <w:szCs w:val="20"/>
              </w:rPr>
              <w:t>48 </w:t>
            </w:r>
            <w:r w:rsidRPr="004062E5">
              <w:rPr>
                <w:rFonts w:cs="Arial"/>
                <w:sz w:val="18"/>
                <w:szCs w:val="20"/>
              </w:rPr>
              <w:t>billion tonnes of economic demonstrated iron ore resource in 201</w:t>
            </w:r>
            <w:r w:rsidR="001F3506" w:rsidRPr="004062E5">
              <w:rPr>
                <w:rFonts w:cs="Arial"/>
                <w:sz w:val="18"/>
                <w:szCs w:val="20"/>
              </w:rPr>
              <w:t>8</w:t>
            </w:r>
            <w:r w:rsidR="00863D93" w:rsidRPr="004062E5">
              <w:rPr>
                <w:rFonts w:cs="Arial"/>
                <w:sz w:val="18"/>
                <w:szCs w:val="20"/>
              </w:rPr>
              <w:noBreakHyphen/>
              <w:t>19</w:t>
            </w:r>
            <w:r w:rsidRPr="004062E5">
              <w:rPr>
                <w:rFonts w:cs="Arial"/>
                <w:sz w:val="18"/>
                <w:szCs w:val="20"/>
              </w:rPr>
              <w:t xml:space="preserve">, which could sustain current production for </w:t>
            </w:r>
            <w:r w:rsidR="00863D93" w:rsidRPr="004062E5">
              <w:rPr>
                <w:rFonts w:cs="Arial"/>
                <w:sz w:val="18"/>
                <w:szCs w:val="20"/>
              </w:rPr>
              <w:t>53</w:t>
            </w:r>
            <w:r w:rsidRPr="004062E5">
              <w:rPr>
                <w:rFonts w:cs="Arial"/>
                <w:sz w:val="18"/>
                <w:szCs w:val="20"/>
              </w:rPr>
              <w:t xml:space="preserve"> years.</w:t>
            </w:r>
          </w:p>
          <w:p w14:paraId="1E8F43BC" w14:textId="7195C7AC" w:rsidR="00065B70" w:rsidRPr="00F33A1F" w:rsidRDefault="00065B70" w:rsidP="005C7EB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F33A1F">
              <w:rPr>
                <w:rFonts w:cs="Arial"/>
                <w:sz w:val="18"/>
                <w:szCs w:val="20"/>
              </w:rPr>
              <w:t>Western Au</w:t>
            </w:r>
            <w:r w:rsidR="00BA1E27" w:rsidRPr="00F33A1F">
              <w:rPr>
                <w:rFonts w:cs="Arial"/>
                <w:sz w:val="18"/>
                <w:szCs w:val="20"/>
              </w:rPr>
              <w:t xml:space="preserve">stralia’s </w:t>
            </w:r>
            <w:r w:rsidRPr="00F33A1F">
              <w:rPr>
                <w:rFonts w:cs="Arial"/>
                <w:sz w:val="18"/>
                <w:szCs w:val="20"/>
              </w:rPr>
              <w:t xml:space="preserve">reserves </w:t>
            </w:r>
            <w:r w:rsidR="00C35104" w:rsidRPr="00F33A1F">
              <w:rPr>
                <w:rFonts w:cs="Arial"/>
                <w:sz w:val="18"/>
                <w:szCs w:val="20"/>
              </w:rPr>
              <w:t xml:space="preserve">had an </w:t>
            </w:r>
            <w:r w:rsidR="000548BC" w:rsidRPr="00F33A1F">
              <w:rPr>
                <w:rFonts w:cs="Arial"/>
                <w:sz w:val="18"/>
                <w:szCs w:val="20"/>
              </w:rPr>
              <w:t xml:space="preserve">average </w:t>
            </w:r>
            <w:r w:rsidR="00C35104" w:rsidRPr="00F33A1F">
              <w:rPr>
                <w:rFonts w:cs="Arial"/>
                <w:sz w:val="18"/>
                <w:szCs w:val="20"/>
              </w:rPr>
              <w:t xml:space="preserve">iron content of </w:t>
            </w:r>
            <w:r w:rsidRPr="00F33A1F">
              <w:rPr>
                <w:rFonts w:cs="Arial"/>
                <w:sz w:val="18"/>
                <w:szCs w:val="20"/>
              </w:rPr>
              <w:t>4</w:t>
            </w:r>
            <w:r w:rsidR="0079330A" w:rsidRPr="00F33A1F">
              <w:rPr>
                <w:rFonts w:cs="Arial"/>
                <w:sz w:val="18"/>
                <w:szCs w:val="20"/>
              </w:rPr>
              <w:t>8</w:t>
            </w:r>
            <w:r w:rsidRPr="00F33A1F">
              <w:rPr>
                <w:rFonts w:cs="Arial"/>
                <w:sz w:val="18"/>
                <w:szCs w:val="20"/>
              </w:rPr>
              <w:t>% in 201</w:t>
            </w:r>
            <w:r w:rsidR="00BD0244" w:rsidRPr="00F33A1F">
              <w:rPr>
                <w:rFonts w:cs="Arial"/>
                <w:sz w:val="18"/>
                <w:szCs w:val="20"/>
              </w:rPr>
              <w:t>9</w:t>
            </w:r>
            <w:r w:rsidR="0079330A" w:rsidRPr="00F33A1F">
              <w:rPr>
                <w:rFonts w:cs="Arial"/>
                <w:sz w:val="18"/>
                <w:szCs w:val="20"/>
              </w:rPr>
              <w:t xml:space="preserve">, </w:t>
            </w:r>
            <w:r w:rsidR="00BD0244" w:rsidRPr="00F33A1F">
              <w:rPr>
                <w:rFonts w:cs="Arial"/>
                <w:sz w:val="18"/>
                <w:szCs w:val="20"/>
              </w:rPr>
              <w:t xml:space="preserve">in line with </w:t>
            </w:r>
            <w:r w:rsidR="0079330A" w:rsidRPr="00F33A1F">
              <w:rPr>
                <w:rFonts w:cs="Arial"/>
                <w:sz w:val="18"/>
                <w:szCs w:val="20"/>
              </w:rPr>
              <w:t>the world average of 4</w:t>
            </w:r>
            <w:r w:rsidR="00BD0244" w:rsidRPr="00F33A1F">
              <w:rPr>
                <w:rFonts w:cs="Arial"/>
                <w:sz w:val="18"/>
                <w:szCs w:val="20"/>
              </w:rPr>
              <w:t>8</w:t>
            </w:r>
            <w:r w:rsidRPr="00F33A1F">
              <w:rPr>
                <w:rFonts w:cs="Arial"/>
                <w:sz w:val="18"/>
                <w:szCs w:val="20"/>
              </w:rPr>
              <w:t>%.</w:t>
            </w:r>
            <w:r w:rsidR="0043575E" w:rsidRPr="00F33A1F">
              <w:rPr>
                <w:rFonts w:cs="Arial"/>
                <w:sz w:val="18"/>
                <w:szCs w:val="20"/>
                <w:vertAlign w:val="superscript"/>
              </w:rPr>
              <w:t>2</w:t>
            </w:r>
          </w:p>
          <w:p w14:paraId="0159FF1D" w14:textId="4A8FFBE0" w:rsidR="00387505" w:rsidRPr="00F33A1F" w:rsidRDefault="0043575E" w:rsidP="00F55EE4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F33A1F">
              <w:rPr>
                <w:rFonts w:cs="Arial"/>
                <w:sz w:val="18"/>
                <w:szCs w:val="20"/>
              </w:rPr>
              <w:t>Western Australia’s iron ore production</w:t>
            </w:r>
            <w:r w:rsidR="00C35104" w:rsidRPr="00F33A1F">
              <w:rPr>
                <w:rFonts w:cs="Arial"/>
                <w:sz w:val="18"/>
                <w:szCs w:val="20"/>
              </w:rPr>
              <w:t xml:space="preserve"> had an</w:t>
            </w:r>
            <w:r w:rsidR="000548BC" w:rsidRPr="00F33A1F">
              <w:rPr>
                <w:rFonts w:cs="Arial"/>
                <w:sz w:val="18"/>
                <w:szCs w:val="20"/>
              </w:rPr>
              <w:t xml:space="preserve"> average</w:t>
            </w:r>
            <w:r w:rsidR="00C35104" w:rsidRPr="00F33A1F">
              <w:rPr>
                <w:rFonts w:cs="Arial"/>
                <w:sz w:val="18"/>
                <w:szCs w:val="20"/>
              </w:rPr>
              <w:t xml:space="preserve"> iron content of </w:t>
            </w:r>
            <w:r w:rsidRPr="00F33A1F">
              <w:rPr>
                <w:rFonts w:cs="Arial"/>
                <w:sz w:val="18"/>
                <w:szCs w:val="20"/>
              </w:rPr>
              <w:t>6</w:t>
            </w:r>
            <w:r w:rsidR="0079330A" w:rsidRPr="00F33A1F">
              <w:rPr>
                <w:rFonts w:cs="Arial"/>
                <w:sz w:val="18"/>
                <w:szCs w:val="20"/>
              </w:rPr>
              <w:t>2</w:t>
            </w:r>
            <w:r w:rsidRPr="00F33A1F">
              <w:rPr>
                <w:rFonts w:cs="Arial"/>
                <w:sz w:val="18"/>
                <w:szCs w:val="20"/>
              </w:rPr>
              <w:t>% in 201</w:t>
            </w:r>
            <w:r w:rsidR="00BD0244" w:rsidRPr="00F33A1F">
              <w:rPr>
                <w:rFonts w:cs="Arial"/>
                <w:sz w:val="18"/>
                <w:szCs w:val="20"/>
              </w:rPr>
              <w:t>9</w:t>
            </w:r>
            <w:r w:rsidRPr="00F33A1F">
              <w:rPr>
                <w:rFonts w:cs="Arial"/>
                <w:sz w:val="18"/>
                <w:szCs w:val="20"/>
              </w:rPr>
              <w:t xml:space="preserve">, </w:t>
            </w:r>
            <w:r w:rsidR="00956743" w:rsidRPr="00F33A1F">
              <w:rPr>
                <w:rFonts w:cs="Arial"/>
                <w:sz w:val="18"/>
                <w:szCs w:val="20"/>
              </w:rPr>
              <w:t xml:space="preserve">above </w:t>
            </w:r>
            <w:r w:rsidRPr="00F33A1F">
              <w:rPr>
                <w:rFonts w:cs="Arial"/>
                <w:sz w:val="18"/>
                <w:szCs w:val="20"/>
              </w:rPr>
              <w:t>the world average of 6</w:t>
            </w:r>
            <w:r w:rsidR="00956743" w:rsidRPr="00F33A1F">
              <w:rPr>
                <w:rFonts w:cs="Arial"/>
                <w:sz w:val="18"/>
                <w:szCs w:val="20"/>
              </w:rPr>
              <w:t>0</w:t>
            </w:r>
            <w:r w:rsidR="0079330A" w:rsidRPr="00F33A1F">
              <w:rPr>
                <w:rFonts w:cs="Arial"/>
                <w:sz w:val="18"/>
                <w:szCs w:val="20"/>
              </w:rPr>
              <w:t>%</w:t>
            </w:r>
            <w:r w:rsidRPr="00F33A1F">
              <w:rPr>
                <w:rFonts w:cs="Arial"/>
                <w:sz w:val="18"/>
                <w:szCs w:val="20"/>
              </w:rPr>
              <w:t>.</w:t>
            </w:r>
            <w:r w:rsidRPr="00F33A1F">
              <w:rPr>
                <w:rFonts w:cs="Arial"/>
                <w:sz w:val="18"/>
                <w:szCs w:val="20"/>
                <w:vertAlign w:val="superscript"/>
              </w:rPr>
              <w:t>2</w:t>
            </w:r>
          </w:p>
          <w:p w14:paraId="5443C1E3" w14:textId="4281D2AA" w:rsidR="00F40102" w:rsidRPr="000D08B9" w:rsidRDefault="00286E26" w:rsidP="00CA4D3E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0D08B9">
              <w:rPr>
                <w:rFonts w:cs="Arial"/>
                <w:sz w:val="18"/>
                <w:szCs w:val="20"/>
              </w:rPr>
              <w:t xml:space="preserve">Western Australia’s iron ore </w:t>
            </w:r>
            <w:r w:rsidR="00AC4A76" w:rsidRPr="000D08B9">
              <w:rPr>
                <w:rFonts w:cs="Arial"/>
                <w:sz w:val="18"/>
                <w:szCs w:val="20"/>
              </w:rPr>
              <w:t>exploration</w:t>
            </w:r>
            <w:r w:rsidR="00822D8C" w:rsidRPr="000D08B9">
              <w:rPr>
                <w:rFonts w:cs="Arial"/>
                <w:sz w:val="18"/>
                <w:szCs w:val="20"/>
              </w:rPr>
              <w:t xml:space="preserve"> </w:t>
            </w:r>
            <w:r w:rsidR="006D132F" w:rsidRPr="000D08B9">
              <w:rPr>
                <w:rFonts w:cs="Arial"/>
                <w:sz w:val="18"/>
                <w:szCs w:val="20"/>
              </w:rPr>
              <w:t>rose</w:t>
            </w:r>
            <w:r w:rsidR="00751BA3" w:rsidRPr="000D08B9">
              <w:rPr>
                <w:rFonts w:cs="Arial"/>
                <w:sz w:val="18"/>
                <w:szCs w:val="20"/>
              </w:rPr>
              <w:t xml:space="preserve"> </w:t>
            </w:r>
            <w:r w:rsidR="00C16629" w:rsidRPr="000D08B9">
              <w:rPr>
                <w:rFonts w:cs="Arial"/>
                <w:sz w:val="18"/>
                <w:szCs w:val="20"/>
              </w:rPr>
              <w:t>1</w:t>
            </w:r>
            <w:r w:rsidR="00CA4D3E" w:rsidRPr="000D08B9">
              <w:rPr>
                <w:rFonts w:cs="Arial"/>
                <w:sz w:val="18"/>
                <w:szCs w:val="20"/>
              </w:rPr>
              <w:t>2</w:t>
            </w:r>
            <w:r w:rsidRPr="000D08B9">
              <w:rPr>
                <w:rFonts w:cs="Arial"/>
                <w:sz w:val="18"/>
                <w:szCs w:val="20"/>
              </w:rPr>
              <w:t>% to $</w:t>
            </w:r>
            <w:r w:rsidR="00C16629" w:rsidRPr="000D08B9">
              <w:rPr>
                <w:rFonts w:cs="Arial"/>
                <w:sz w:val="18"/>
                <w:szCs w:val="20"/>
              </w:rPr>
              <w:t>3</w:t>
            </w:r>
            <w:r w:rsidR="00CA4D3E" w:rsidRPr="000D08B9">
              <w:rPr>
                <w:rFonts w:cs="Arial"/>
                <w:sz w:val="18"/>
                <w:szCs w:val="20"/>
              </w:rPr>
              <w:t>49</w:t>
            </w:r>
            <w:r w:rsidRPr="000D08B9">
              <w:rPr>
                <w:rFonts w:cs="Arial"/>
                <w:sz w:val="18"/>
                <w:szCs w:val="20"/>
              </w:rPr>
              <w:t xml:space="preserve"> million in 20</w:t>
            </w:r>
            <w:r w:rsidR="00C16629" w:rsidRPr="000D08B9">
              <w:rPr>
                <w:rFonts w:cs="Arial"/>
                <w:sz w:val="18"/>
                <w:szCs w:val="20"/>
              </w:rPr>
              <w:t>19</w:t>
            </w:r>
            <w:r w:rsidR="00CA4D3E" w:rsidRPr="000D08B9">
              <w:rPr>
                <w:rFonts w:cs="Arial"/>
                <w:sz w:val="18"/>
                <w:szCs w:val="20"/>
              </w:rPr>
              <w:t>-20</w:t>
            </w:r>
            <w:r w:rsidRPr="000D08B9">
              <w:rPr>
                <w:rFonts w:cs="Arial"/>
                <w:sz w:val="18"/>
                <w:szCs w:val="20"/>
              </w:rPr>
              <w:t xml:space="preserve">, </w:t>
            </w:r>
            <w:r w:rsidR="00822D8C" w:rsidRPr="000D08B9">
              <w:rPr>
                <w:rFonts w:cs="Arial"/>
                <w:sz w:val="18"/>
                <w:szCs w:val="20"/>
              </w:rPr>
              <w:t>compared with an</w:t>
            </w:r>
            <w:r w:rsidR="006D4375" w:rsidRPr="000D08B9">
              <w:rPr>
                <w:rFonts w:cs="Arial"/>
                <w:sz w:val="18"/>
                <w:szCs w:val="20"/>
              </w:rPr>
              <w:t xml:space="preserve"> average</w:t>
            </w:r>
            <w:r w:rsidR="00822D8C" w:rsidRPr="000D08B9">
              <w:rPr>
                <w:rFonts w:cs="Arial"/>
                <w:sz w:val="18"/>
                <w:szCs w:val="20"/>
              </w:rPr>
              <w:t xml:space="preserve"> </w:t>
            </w:r>
            <w:r w:rsidR="00D17118" w:rsidRPr="000D08B9">
              <w:rPr>
                <w:rFonts w:cs="Arial"/>
                <w:sz w:val="18"/>
                <w:szCs w:val="20"/>
              </w:rPr>
              <w:t>annual</w:t>
            </w:r>
            <w:r w:rsidR="00822D8C" w:rsidRPr="000D08B9">
              <w:rPr>
                <w:rFonts w:cs="Arial"/>
                <w:sz w:val="18"/>
                <w:szCs w:val="20"/>
              </w:rPr>
              <w:t xml:space="preserve"> decline</w:t>
            </w:r>
            <w:r w:rsidR="00D17118" w:rsidRPr="000D08B9">
              <w:rPr>
                <w:rFonts w:cs="Arial"/>
                <w:sz w:val="18"/>
                <w:szCs w:val="20"/>
                <w:vertAlign w:val="superscript"/>
              </w:rPr>
              <w:t>3</w:t>
            </w:r>
            <w:r w:rsidR="00822D8C" w:rsidRPr="000D08B9">
              <w:rPr>
                <w:rFonts w:cs="Arial"/>
                <w:sz w:val="18"/>
                <w:szCs w:val="20"/>
              </w:rPr>
              <w:t xml:space="preserve"> </w:t>
            </w:r>
            <w:r w:rsidRPr="000D08B9">
              <w:rPr>
                <w:rFonts w:cs="Arial"/>
                <w:sz w:val="18"/>
                <w:szCs w:val="20"/>
              </w:rPr>
              <w:t xml:space="preserve">of </w:t>
            </w:r>
            <w:r w:rsidR="00CA4D3E" w:rsidRPr="000D08B9">
              <w:rPr>
                <w:rFonts w:cs="Arial"/>
                <w:sz w:val="18"/>
                <w:szCs w:val="20"/>
              </w:rPr>
              <w:t>3</w:t>
            </w:r>
            <w:r w:rsidRPr="000D08B9">
              <w:rPr>
                <w:rFonts w:cs="Arial"/>
                <w:sz w:val="18"/>
                <w:szCs w:val="20"/>
              </w:rPr>
              <w:t>% over the past ten years.</w:t>
            </w:r>
          </w:p>
        </w:tc>
      </w:tr>
      <w:tr w:rsidR="00656631" w:rsidRPr="00E84F58" w14:paraId="32A32D53" w14:textId="77777777" w:rsidTr="00637E8D">
        <w:tc>
          <w:tcPr>
            <w:tcW w:w="6661" w:type="dxa"/>
            <w:shd w:val="clear" w:color="auto" w:fill="auto"/>
          </w:tcPr>
          <w:p w14:paraId="21D06253" w14:textId="4A1EA472" w:rsidR="00656631" w:rsidRPr="00E84F58" w:rsidRDefault="00944F7E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2AE3D600">
                <v:shape id="_x0000_i1028" type="#_x0000_t75" style="width:289pt;height:169pt;mso-left-percent:-10001;mso-top-percent:-10001;mso-position-horizontal:absolute;mso-position-horizontal-relative:char;mso-position-vertical:absolute;mso-position-vertical-relative:line;mso-left-percent:-10001;mso-top-percent:-10001">
                  <v:imagedata r:id="rId15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5258C5A5" w14:textId="77777777" w:rsidR="00656631" w:rsidRPr="00E84F58" w:rsidRDefault="00656631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656631" w:rsidRPr="00E84F58" w14:paraId="70ECEA9E" w14:textId="77777777" w:rsidTr="00637E8D">
        <w:tc>
          <w:tcPr>
            <w:tcW w:w="6661" w:type="dxa"/>
            <w:shd w:val="clear" w:color="auto" w:fill="auto"/>
          </w:tcPr>
          <w:p w14:paraId="06E92AD5" w14:textId="3236F0A2" w:rsidR="0043575E" w:rsidRDefault="00B2570A" w:rsidP="00062B27">
            <w:pPr>
              <w:rPr>
                <w:rFonts w:cs="Arial"/>
                <w:sz w:val="10"/>
                <w:szCs w:val="20"/>
              </w:rPr>
            </w:pPr>
            <w:r w:rsidRPr="00B2570A">
              <w:rPr>
                <w:rFonts w:cs="Arial"/>
                <w:sz w:val="10"/>
                <w:szCs w:val="20"/>
                <w:vertAlign w:val="superscript"/>
              </w:rPr>
              <w:t xml:space="preserve">1 </w:t>
            </w:r>
            <w:r>
              <w:rPr>
                <w:rFonts w:cs="Arial"/>
                <w:sz w:val="10"/>
                <w:szCs w:val="20"/>
              </w:rPr>
              <w:t>Based on Western Australia’s share of Australian iron ore production.</w:t>
            </w:r>
            <w:r w:rsidR="00D17118">
              <w:rPr>
                <w:rFonts w:cs="Arial"/>
                <w:sz w:val="10"/>
                <w:szCs w:val="20"/>
              </w:rPr>
              <w:t xml:space="preserve"> </w:t>
            </w:r>
            <w:r w:rsidR="0043575E" w:rsidRPr="0043575E">
              <w:rPr>
                <w:rFonts w:cs="Arial"/>
                <w:sz w:val="10"/>
                <w:szCs w:val="20"/>
                <w:vertAlign w:val="superscript"/>
              </w:rPr>
              <w:t>2</w:t>
            </w:r>
            <w:r w:rsidR="0043575E">
              <w:rPr>
                <w:rFonts w:cs="Arial"/>
                <w:sz w:val="10"/>
                <w:szCs w:val="20"/>
              </w:rPr>
              <w:t xml:space="preserve"> US Geological Survey</w:t>
            </w:r>
            <w:r w:rsidR="00D17118">
              <w:rPr>
                <w:rFonts w:cs="Arial"/>
                <w:sz w:val="10"/>
                <w:szCs w:val="20"/>
              </w:rPr>
              <w:t xml:space="preserve">. </w:t>
            </w:r>
            <w:r w:rsidR="00D17118" w:rsidRPr="00D17118">
              <w:rPr>
                <w:rFonts w:cs="Arial"/>
                <w:sz w:val="10"/>
                <w:szCs w:val="20"/>
                <w:vertAlign w:val="superscript"/>
              </w:rPr>
              <w:t>3</w:t>
            </w:r>
            <w:r w:rsidR="00D17118">
              <w:rPr>
                <w:rFonts w:cs="Arial"/>
                <w:sz w:val="10"/>
                <w:szCs w:val="20"/>
              </w:rPr>
              <w:t xml:space="preserve"> Compound annual growth rate.</w:t>
            </w:r>
          </w:p>
          <w:p w14:paraId="390E8F96" w14:textId="2F90D320" w:rsidR="00656631" w:rsidRPr="00E04BAA" w:rsidRDefault="00B2570A" w:rsidP="00062B27">
            <w:pPr>
              <w:rPr>
                <w:rFonts w:cs="Arial"/>
                <w:sz w:val="10"/>
                <w:szCs w:val="20"/>
              </w:rPr>
            </w:pPr>
            <w:r>
              <w:rPr>
                <w:rFonts w:cs="Arial"/>
                <w:sz w:val="10"/>
                <w:szCs w:val="20"/>
              </w:rPr>
              <w:t>Source: ABS 5204.0 Australian System of National Accounts.</w:t>
            </w:r>
          </w:p>
        </w:tc>
        <w:tc>
          <w:tcPr>
            <w:tcW w:w="3969" w:type="dxa"/>
            <w:vMerge/>
            <w:shd w:val="clear" w:color="auto" w:fill="auto"/>
          </w:tcPr>
          <w:p w14:paraId="7EA73D70" w14:textId="77777777" w:rsidR="00656631" w:rsidRPr="00E84F58" w:rsidRDefault="00656631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BF1B632" w14:textId="77777777" w:rsidR="00F603E4" w:rsidRPr="00BC4065" w:rsidRDefault="00F603E4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656631" w:rsidRPr="00E84F58" w14:paraId="2785F558" w14:textId="77777777" w:rsidTr="005C7EBB">
        <w:tc>
          <w:tcPr>
            <w:tcW w:w="6661" w:type="dxa"/>
            <w:shd w:val="clear" w:color="auto" w:fill="C0504D"/>
          </w:tcPr>
          <w:p w14:paraId="12E76D51" w14:textId="55952B89" w:rsidR="00656631" w:rsidRPr="00E84F58" w:rsidRDefault="00B44AFE" w:rsidP="00BB1BBE">
            <w:pPr>
              <w:jc w:val="center"/>
              <w:rPr>
                <w:rFonts w:cs="Arial"/>
                <w:sz w:val="20"/>
                <w:szCs w:val="20"/>
              </w:rPr>
            </w:pPr>
            <w:r w:rsidRPr="00C90210">
              <w:rPr>
                <w:rFonts w:cs="Arial"/>
                <w:color w:val="FFFFFF"/>
                <w:sz w:val="20"/>
                <w:szCs w:val="20"/>
              </w:rPr>
              <w:t>Total cash cost</w:t>
            </w:r>
            <w:r w:rsidR="009F42BF" w:rsidRPr="00BF55FF">
              <w:rPr>
                <w:rFonts w:cs="Arial"/>
                <w:color w:val="FFFFFF"/>
                <w:sz w:val="20"/>
                <w:szCs w:val="20"/>
                <w:vertAlign w:val="superscript"/>
              </w:rPr>
              <w:t>1</w:t>
            </w:r>
            <w:r w:rsidRPr="00C90210">
              <w:rPr>
                <w:rFonts w:cs="Arial"/>
                <w:color w:val="FFFFFF"/>
                <w:sz w:val="20"/>
                <w:szCs w:val="20"/>
              </w:rPr>
              <w:t xml:space="preserve"> of seaborne iron ore exports</w:t>
            </w:r>
            <w:r w:rsidR="00A924BB" w:rsidRPr="00A924BB">
              <w:rPr>
                <w:rFonts w:cs="Arial"/>
                <w:color w:val="FFFFFF"/>
                <w:sz w:val="20"/>
                <w:szCs w:val="20"/>
                <w:vertAlign w:val="superscript"/>
              </w:rPr>
              <w:t>2</w:t>
            </w:r>
            <w:r w:rsidRPr="00C90210">
              <w:rPr>
                <w:rFonts w:cs="Arial"/>
                <w:color w:val="FFFFFF"/>
                <w:sz w:val="20"/>
                <w:szCs w:val="20"/>
              </w:rPr>
              <w:t>: 201</w:t>
            </w:r>
            <w:r w:rsidR="00BB1BBE">
              <w:rPr>
                <w:rFonts w:cs="Arial"/>
                <w:color w:val="FFFFFF"/>
                <w:sz w:val="20"/>
                <w:szCs w:val="20"/>
              </w:rPr>
              <w:t>9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BF9C3BE" w14:textId="77777777" w:rsidR="00BF6A60" w:rsidRPr="00AC7886" w:rsidRDefault="00BF6A60" w:rsidP="00BF6A60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AC7886">
              <w:rPr>
                <w:rFonts w:cs="Arial"/>
                <w:sz w:val="18"/>
                <w:szCs w:val="20"/>
              </w:rPr>
              <w:t>Western Australia’s iron ore miners are among the world’s lowest cost seaborne iron ore exporters.</w:t>
            </w:r>
          </w:p>
          <w:p w14:paraId="17D742D1" w14:textId="77777777" w:rsidR="00BF6A60" w:rsidRPr="005D2D4C" w:rsidRDefault="00BF6A60" w:rsidP="00BF6A60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5D2D4C">
              <w:rPr>
                <w:rFonts w:cs="Arial"/>
                <w:sz w:val="18"/>
                <w:szCs w:val="20"/>
              </w:rPr>
              <w:t>The average total cash cost</w:t>
            </w:r>
            <w:r w:rsidRPr="005D2D4C">
              <w:rPr>
                <w:rFonts w:cs="Arial"/>
                <w:sz w:val="18"/>
                <w:szCs w:val="20"/>
                <w:vertAlign w:val="superscript"/>
              </w:rPr>
              <w:t>1</w:t>
            </w:r>
            <w:r w:rsidRPr="005D2D4C">
              <w:rPr>
                <w:rFonts w:cs="Arial"/>
                <w:sz w:val="18"/>
                <w:szCs w:val="20"/>
              </w:rPr>
              <w:t xml:space="preserve"> of Western Australia’s iron ore exports was US$29.6 a tonne in 2019, below the world average of US$40.9 a tonne, and below its main competitor in Brazil (US$36.1/t).</w:t>
            </w:r>
          </w:p>
          <w:p w14:paraId="382B09E4" w14:textId="77777777" w:rsidR="00BF6A60" w:rsidRPr="009F5A65" w:rsidRDefault="00BF6A60" w:rsidP="00BF6A60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9F5A65">
              <w:rPr>
                <w:rFonts w:cs="Arial"/>
                <w:sz w:val="18"/>
                <w:szCs w:val="20"/>
              </w:rPr>
              <w:t>Western Australia’s major iron ore ports are close to the largest iron ore markets in Asia, reducing shipping costs relative to some of its competitors.</w:t>
            </w:r>
          </w:p>
          <w:p w14:paraId="53596509" w14:textId="662751FB" w:rsidR="00656631" w:rsidRPr="00BF6A60" w:rsidRDefault="00BF6A60" w:rsidP="00BF6A60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BF6A60">
              <w:rPr>
                <w:rFonts w:cs="Arial"/>
                <w:sz w:val="18"/>
                <w:szCs w:val="20"/>
              </w:rPr>
              <w:t>According to Wood Mackenzie, Western Australia’s average iron ore freight rate to China rose 2% to US$7.7 a wet tonne in 2019, well below Brazil’s rate of US$18.6 a wet tonne.</w:t>
            </w:r>
          </w:p>
        </w:tc>
      </w:tr>
      <w:tr w:rsidR="00656631" w:rsidRPr="00E84F58" w14:paraId="7FA49EC8" w14:textId="77777777" w:rsidTr="00637E8D">
        <w:tc>
          <w:tcPr>
            <w:tcW w:w="6661" w:type="dxa"/>
            <w:shd w:val="clear" w:color="auto" w:fill="auto"/>
          </w:tcPr>
          <w:p w14:paraId="5921FA19" w14:textId="67FD0C08" w:rsidR="00656631" w:rsidRPr="00E84F58" w:rsidRDefault="00944F7E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0E0AF191">
                <v:shape id="_x0000_i1029" type="#_x0000_t75" style="width:301.65pt;height:166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16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078475B7" w14:textId="77777777" w:rsidR="00656631" w:rsidRPr="00E84F58" w:rsidRDefault="00656631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656631" w:rsidRPr="00E84F58" w14:paraId="38709260" w14:textId="77777777" w:rsidTr="00637E8D">
        <w:tc>
          <w:tcPr>
            <w:tcW w:w="6661" w:type="dxa"/>
            <w:shd w:val="clear" w:color="auto" w:fill="auto"/>
          </w:tcPr>
          <w:p w14:paraId="5FC8EDFE" w14:textId="0879F5A9" w:rsidR="00BF55FF" w:rsidRPr="005D2D4C" w:rsidRDefault="00BF55FF" w:rsidP="00062B27">
            <w:pPr>
              <w:rPr>
                <w:rFonts w:cs="Arial"/>
                <w:sz w:val="10"/>
                <w:szCs w:val="20"/>
              </w:rPr>
            </w:pPr>
            <w:r w:rsidRPr="005D2D4C">
              <w:rPr>
                <w:rFonts w:cs="Arial"/>
                <w:sz w:val="10"/>
                <w:szCs w:val="20"/>
                <w:vertAlign w:val="superscript"/>
              </w:rPr>
              <w:t>1</w:t>
            </w:r>
            <w:r w:rsidR="002B3803" w:rsidRPr="005D2D4C">
              <w:rPr>
                <w:rFonts w:cs="Arial"/>
                <w:sz w:val="10"/>
                <w:szCs w:val="20"/>
              </w:rPr>
              <w:t xml:space="preserve"> T</w:t>
            </w:r>
            <w:r w:rsidRPr="005D2D4C">
              <w:rPr>
                <w:rFonts w:cs="Arial"/>
                <w:sz w:val="10"/>
                <w:szCs w:val="20"/>
              </w:rPr>
              <w:t xml:space="preserve">otal cash cost </w:t>
            </w:r>
            <w:r w:rsidR="002B3803" w:rsidRPr="005D2D4C">
              <w:rPr>
                <w:rFonts w:cs="Arial"/>
                <w:sz w:val="10"/>
                <w:szCs w:val="20"/>
              </w:rPr>
              <w:t xml:space="preserve">per dry metric tonne </w:t>
            </w:r>
            <w:r w:rsidRPr="005D2D4C">
              <w:rPr>
                <w:rFonts w:cs="Arial"/>
                <w:sz w:val="10"/>
                <w:szCs w:val="20"/>
              </w:rPr>
              <w:t>in US dollars</w:t>
            </w:r>
            <w:r w:rsidR="0089047C" w:rsidRPr="005D2D4C">
              <w:rPr>
                <w:rFonts w:cs="Arial"/>
                <w:sz w:val="10"/>
                <w:szCs w:val="20"/>
              </w:rPr>
              <w:t xml:space="preserve">, </w:t>
            </w:r>
            <w:r w:rsidRPr="005D2D4C">
              <w:rPr>
                <w:rFonts w:cs="Arial"/>
                <w:sz w:val="10"/>
                <w:szCs w:val="20"/>
              </w:rPr>
              <w:t>cost and freight (CFR)</w:t>
            </w:r>
            <w:r w:rsidR="0089047C" w:rsidRPr="005D2D4C">
              <w:rPr>
                <w:rFonts w:cs="Arial"/>
                <w:sz w:val="10"/>
                <w:szCs w:val="20"/>
              </w:rPr>
              <w:t>.</w:t>
            </w:r>
            <w:r w:rsidR="00A924BB" w:rsidRPr="005D2D4C">
              <w:rPr>
                <w:rFonts w:cs="Arial"/>
                <w:sz w:val="10"/>
                <w:szCs w:val="20"/>
              </w:rPr>
              <w:t xml:space="preserve"> </w:t>
            </w:r>
            <w:r w:rsidR="00A924BB" w:rsidRPr="005D2D4C">
              <w:rPr>
                <w:rFonts w:cs="Arial"/>
                <w:sz w:val="10"/>
                <w:szCs w:val="20"/>
                <w:vertAlign w:val="superscript"/>
              </w:rPr>
              <w:t>2</w:t>
            </w:r>
            <w:r w:rsidR="00A924BB" w:rsidRPr="005D2D4C">
              <w:rPr>
                <w:rFonts w:cs="Arial"/>
                <w:sz w:val="10"/>
                <w:szCs w:val="20"/>
              </w:rPr>
              <w:t xml:space="preserve"> Includes </w:t>
            </w:r>
            <w:r w:rsidR="002B3803" w:rsidRPr="005D2D4C">
              <w:rPr>
                <w:rFonts w:cs="Arial"/>
                <w:sz w:val="10"/>
                <w:szCs w:val="20"/>
              </w:rPr>
              <w:t>the 10 largest produc</w:t>
            </w:r>
            <w:r w:rsidR="00A924BB" w:rsidRPr="005D2D4C">
              <w:rPr>
                <w:rFonts w:cs="Arial"/>
                <w:sz w:val="10"/>
                <w:szCs w:val="20"/>
              </w:rPr>
              <w:t>ers</w:t>
            </w:r>
            <w:r w:rsidR="002B3803" w:rsidRPr="005D2D4C">
              <w:rPr>
                <w:rFonts w:cs="Arial"/>
                <w:sz w:val="10"/>
                <w:szCs w:val="20"/>
              </w:rPr>
              <w:t xml:space="preserve"> only</w:t>
            </w:r>
            <w:r w:rsidR="00A924BB" w:rsidRPr="005D2D4C">
              <w:rPr>
                <w:rFonts w:cs="Arial"/>
                <w:sz w:val="10"/>
                <w:szCs w:val="20"/>
              </w:rPr>
              <w:t xml:space="preserve">. </w:t>
            </w:r>
          </w:p>
          <w:p w14:paraId="696C4C6D" w14:textId="69E3B5F9" w:rsidR="00656631" w:rsidRPr="005D2D4C" w:rsidRDefault="00BF55FF" w:rsidP="00062B27">
            <w:pPr>
              <w:rPr>
                <w:rFonts w:cs="Arial"/>
                <w:sz w:val="10"/>
                <w:szCs w:val="20"/>
              </w:rPr>
            </w:pPr>
            <w:r w:rsidRPr="005D2D4C">
              <w:rPr>
                <w:rFonts w:cs="Arial"/>
                <w:sz w:val="10"/>
                <w:szCs w:val="20"/>
              </w:rPr>
              <w:t>Source: S&amp;P Global Market Intelligence, Mine Economics Model.</w:t>
            </w:r>
          </w:p>
        </w:tc>
        <w:tc>
          <w:tcPr>
            <w:tcW w:w="3969" w:type="dxa"/>
            <w:vMerge/>
            <w:shd w:val="clear" w:color="auto" w:fill="auto"/>
          </w:tcPr>
          <w:p w14:paraId="7ABCCF7B" w14:textId="77777777" w:rsidR="00656631" w:rsidRPr="00E84F58" w:rsidRDefault="00656631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1AC4DE8" w14:textId="77777777" w:rsidR="00F603E4" w:rsidRPr="00BC4065" w:rsidRDefault="00F603E4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656631" w:rsidRPr="00E84F58" w14:paraId="1F3CA8A4" w14:textId="77777777" w:rsidTr="005C7EBB">
        <w:tc>
          <w:tcPr>
            <w:tcW w:w="6661" w:type="dxa"/>
            <w:shd w:val="clear" w:color="auto" w:fill="C0504D"/>
          </w:tcPr>
          <w:p w14:paraId="5A359FBC" w14:textId="6801FF01" w:rsidR="00656631" w:rsidRPr="00E84F58" w:rsidRDefault="00A562D1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Major </w:t>
            </w:r>
            <w:r w:rsidR="00B44AFE" w:rsidRPr="00C90210">
              <w:rPr>
                <w:rFonts w:cs="Arial"/>
                <w:color w:val="FFFFFF"/>
                <w:sz w:val="20"/>
                <w:szCs w:val="20"/>
              </w:rPr>
              <w:t>iron ore export</w:t>
            </w:r>
            <w:r>
              <w:rPr>
                <w:rFonts w:cs="Arial"/>
                <w:color w:val="FFFFFF"/>
                <w:sz w:val="20"/>
                <w:szCs w:val="20"/>
              </w:rPr>
              <w:t xml:space="preserve"> market</w:t>
            </w:r>
            <w:r w:rsidR="00B44AFE" w:rsidRPr="00C90210">
              <w:rPr>
                <w:rFonts w:cs="Arial"/>
                <w:color w:val="FFFFFF"/>
                <w:sz w:val="20"/>
                <w:szCs w:val="20"/>
              </w:rPr>
              <w:t>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3399880" w14:textId="1742125C" w:rsidR="000E2A04" w:rsidRPr="000E2A04" w:rsidRDefault="000E2A04" w:rsidP="005C7EBB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0E2A04">
              <w:rPr>
                <w:rFonts w:cs="Arial"/>
                <w:sz w:val="18"/>
                <w:szCs w:val="20"/>
              </w:rPr>
              <w:t xml:space="preserve">Western Australia’s iron ore industry </w:t>
            </w:r>
            <w:r>
              <w:rPr>
                <w:rFonts w:cs="Arial"/>
                <w:sz w:val="18"/>
                <w:szCs w:val="20"/>
              </w:rPr>
              <w:t>has</w:t>
            </w:r>
            <w:r w:rsidR="009C77FD">
              <w:rPr>
                <w:rFonts w:cs="Arial"/>
                <w:sz w:val="18"/>
                <w:szCs w:val="20"/>
              </w:rPr>
              <w:t xml:space="preserve"> </w:t>
            </w:r>
            <w:r w:rsidR="001C203B">
              <w:rPr>
                <w:rFonts w:cs="Arial"/>
                <w:sz w:val="18"/>
                <w:szCs w:val="20"/>
              </w:rPr>
              <w:t>established</w:t>
            </w:r>
            <w:r w:rsidR="003F64CF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 xml:space="preserve">long-term </w:t>
            </w:r>
            <w:r w:rsidR="00D12B27">
              <w:rPr>
                <w:rFonts w:cs="Arial"/>
                <w:sz w:val="18"/>
                <w:szCs w:val="20"/>
              </w:rPr>
              <w:t>trad</w:t>
            </w:r>
            <w:r w:rsidR="00340B42">
              <w:rPr>
                <w:rFonts w:cs="Arial"/>
                <w:sz w:val="18"/>
                <w:szCs w:val="20"/>
              </w:rPr>
              <w:t>e</w:t>
            </w:r>
            <w:r w:rsidR="00D12B27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relationships</w:t>
            </w:r>
            <w:r w:rsidR="001C203B">
              <w:rPr>
                <w:rFonts w:cs="Arial"/>
                <w:sz w:val="18"/>
                <w:szCs w:val="20"/>
              </w:rPr>
              <w:t xml:space="preserve"> across </w:t>
            </w:r>
            <w:r w:rsidR="00D12B27">
              <w:rPr>
                <w:rFonts w:cs="Arial"/>
                <w:sz w:val="18"/>
                <w:szCs w:val="20"/>
              </w:rPr>
              <w:t>Asia</w:t>
            </w:r>
            <w:r>
              <w:rPr>
                <w:rFonts w:cs="Arial"/>
                <w:sz w:val="18"/>
                <w:szCs w:val="20"/>
              </w:rPr>
              <w:t>.</w:t>
            </w:r>
          </w:p>
          <w:p w14:paraId="07FDEC53" w14:textId="35E511E0" w:rsidR="00C6078D" w:rsidRPr="000D08B9" w:rsidRDefault="00FB5119" w:rsidP="00F55EE4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0D08B9">
              <w:rPr>
                <w:rFonts w:cs="Arial"/>
                <w:sz w:val="18"/>
                <w:szCs w:val="20"/>
              </w:rPr>
              <w:t>Over 8</w:t>
            </w:r>
            <w:r w:rsidR="00437F37" w:rsidRPr="000D08B9">
              <w:rPr>
                <w:rFonts w:cs="Arial"/>
                <w:sz w:val="18"/>
                <w:szCs w:val="20"/>
              </w:rPr>
              <w:t>3</w:t>
            </w:r>
            <w:r w:rsidR="00987C4D" w:rsidRPr="000D08B9">
              <w:rPr>
                <w:rFonts w:cs="Arial"/>
                <w:sz w:val="18"/>
                <w:szCs w:val="20"/>
              </w:rPr>
              <w:t xml:space="preserve">% </w:t>
            </w:r>
            <w:r w:rsidR="00503124" w:rsidRPr="000D08B9">
              <w:rPr>
                <w:rFonts w:cs="Arial"/>
                <w:sz w:val="18"/>
                <w:szCs w:val="20"/>
              </w:rPr>
              <w:t>of Western Australia’s iron ore exports went to China in 20</w:t>
            </w:r>
            <w:r w:rsidR="00476CCD" w:rsidRPr="000D08B9">
              <w:rPr>
                <w:rFonts w:cs="Arial"/>
                <w:sz w:val="18"/>
                <w:szCs w:val="20"/>
              </w:rPr>
              <w:t>19</w:t>
            </w:r>
            <w:r w:rsidR="00437F37" w:rsidRPr="000D08B9">
              <w:rPr>
                <w:rFonts w:cs="Arial"/>
                <w:sz w:val="18"/>
                <w:szCs w:val="20"/>
              </w:rPr>
              <w:t>-20</w:t>
            </w:r>
            <w:r w:rsidR="003410DA" w:rsidRPr="000D08B9">
              <w:rPr>
                <w:rFonts w:cs="Arial"/>
                <w:sz w:val="18"/>
                <w:szCs w:val="20"/>
              </w:rPr>
              <w:t>,</w:t>
            </w:r>
            <w:r w:rsidR="00C6078D" w:rsidRPr="000D08B9">
              <w:rPr>
                <w:rFonts w:cs="Arial"/>
                <w:sz w:val="18"/>
                <w:szCs w:val="20"/>
              </w:rPr>
              <w:t xml:space="preserve"> with </w:t>
            </w:r>
            <w:r w:rsidR="00503124" w:rsidRPr="000D08B9">
              <w:rPr>
                <w:rFonts w:cs="Arial"/>
                <w:sz w:val="18"/>
                <w:szCs w:val="20"/>
              </w:rPr>
              <w:t xml:space="preserve">exports </w:t>
            </w:r>
            <w:r w:rsidR="00437F37" w:rsidRPr="000D08B9">
              <w:rPr>
                <w:rFonts w:cs="Arial"/>
                <w:sz w:val="18"/>
                <w:szCs w:val="20"/>
              </w:rPr>
              <w:t>rising 8% to 709</w:t>
            </w:r>
            <w:r w:rsidR="00C6078D" w:rsidRPr="000D08B9">
              <w:rPr>
                <w:rFonts w:cs="Arial"/>
                <w:sz w:val="18"/>
                <w:szCs w:val="20"/>
              </w:rPr>
              <w:t xml:space="preserve"> million tonnes.</w:t>
            </w:r>
          </w:p>
          <w:p w14:paraId="71BAA52C" w14:textId="3E019B1E" w:rsidR="00720A7B" w:rsidRPr="000D08B9" w:rsidRDefault="00AC4A76" w:rsidP="00F55EE4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0D08B9">
              <w:rPr>
                <w:rFonts w:cs="Arial"/>
                <w:sz w:val="18"/>
                <w:szCs w:val="20"/>
              </w:rPr>
              <w:t>I</w:t>
            </w:r>
            <w:r w:rsidR="00C6078D" w:rsidRPr="000D08B9">
              <w:rPr>
                <w:rFonts w:cs="Arial"/>
                <w:sz w:val="18"/>
                <w:szCs w:val="20"/>
              </w:rPr>
              <w:t xml:space="preserve">ron ore exports </w:t>
            </w:r>
            <w:r w:rsidR="003410DA" w:rsidRPr="000D08B9">
              <w:rPr>
                <w:rFonts w:cs="Arial"/>
                <w:sz w:val="18"/>
                <w:szCs w:val="20"/>
              </w:rPr>
              <w:t xml:space="preserve">to Japan, </w:t>
            </w:r>
            <w:r w:rsidR="00A3226C" w:rsidRPr="000D08B9">
              <w:rPr>
                <w:rFonts w:cs="Arial"/>
                <w:sz w:val="18"/>
                <w:szCs w:val="20"/>
              </w:rPr>
              <w:t xml:space="preserve">South </w:t>
            </w:r>
            <w:r w:rsidR="00526E70" w:rsidRPr="000D08B9">
              <w:rPr>
                <w:rFonts w:cs="Arial"/>
                <w:sz w:val="18"/>
                <w:szCs w:val="20"/>
              </w:rPr>
              <w:t xml:space="preserve">Korea </w:t>
            </w:r>
            <w:r w:rsidR="003410DA" w:rsidRPr="000D08B9">
              <w:rPr>
                <w:rFonts w:cs="Arial"/>
                <w:sz w:val="18"/>
                <w:szCs w:val="20"/>
              </w:rPr>
              <w:t xml:space="preserve">and </w:t>
            </w:r>
            <w:r w:rsidR="00526E70" w:rsidRPr="000D08B9">
              <w:rPr>
                <w:rFonts w:cs="Arial"/>
                <w:sz w:val="18"/>
                <w:szCs w:val="20"/>
              </w:rPr>
              <w:t>Taiwan</w:t>
            </w:r>
            <w:r w:rsidR="00720A7B" w:rsidRPr="000D08B9">
              <w:rPr>
                <w:rFonts w:cs="Arial"/>
                <w:sz w:val="18"/>
                <w:szCs w:val="20"/>
              </w:rPr>
              <w:t xml:space="preserve"> </w:t>
            </w:r>
            <w:r w:rsidR="009C75A7" w:rsidRPr="000D08B9">
              <w:rPr>
                <w:rFonts w:cs="Arial"/>
                <w:sz w:val="18"/>
                <w:szCs w:val="20"/>
              </w:rPr>
              <w:t xml:space="preserve">combined </w:t>
            </w:r>
            <w:r w:rsidR="00562B46" w:rsidRPr="000D08B9">
              <w:rPr>
                <w:rFonts w:cs="Arial"/>
                <w:sz w:val="18"/>
                <w:szCs w:val="20"/>
              </w:rPr>
              <w:t xml:space="preserve">fell </w:t>
            </w:r>
            <w:r w:rsidR="00437F37" w:rsidRPr="000D08B9">
              <w:rPr>
                <w:rFonts w:cs="Arial"/>
                <w:sz w:val="18"/>
                <w:szCs w:val="20"/>
              </w:rPr>
              <w:t>7% to 123</w:t>
            </w:r>
            <w:r w:rsidRPr="000D08B9">
              <w:rPr>
                <w:rFonts w:cs="Arial"/>
                <w:sz w:val="18"/>
                <w:szCs w:val="20"/>
              </w:rPr>
              <w:t> </w:t>
            </w:r>
            <w:r w:rsidR="00C6078D" w:rsidRPr="000D08B9">
              <w:rPr>
                <w:rFonts w:cs="Arial"/>
                <w:sz w:val="18"/>
                <w:szCs w:val="20"/>
              </w:rPr>
              <w:t>million tonnes in 20</w:t>
            </w:r>
            <w:r w:rsidR="00476CCD" w:rsidRPr="000D08B9">
              <w:rPr>
                <w:rFonts w:cs="Arial"/>
                <w:sz w:val="18"/>
                <w:szCs w:val="20"/>
              </w:rPr>
              <w:t>19</w:t>
            </w:r>
            <w:r w:rsidR="00437F37" w:rsidRPr="000D08B9">
              <w:rPr>
                <w:rFonts w:cs="Arial"/>
                <w:sz w:val="18"/>
                <w:szCs w:val="20"/>
              </w:rPr>
              <w:t>-20</w:t>
            </w:r>
            <w:r w:rsidR="00720A7B" w:rsidRPr="000D08B9">
              <w:rPr>
                <w:rFonts w:cs="Arial"/>
                <w:sz w:val="18"/>
                <w:szCs w:val="20"/>
              </w:rPr>
              <w:t>.</w:t>
            </w:r>
          </w:p>
          <w:p w14:paraId="22553974" w14:textId="2FF38B65" w:rsidR="00C6078D" w:rsidRPr="000D08B9" w:rsidRDefault="00AC4A76" w:rsidP="00F55EE4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0D08B9">
              <w:rPr>
                <w:rFonts w:cs="Arial"/>
                <w:sz w:val="18"/>
                <w:szCs w:val="20"/>
              </w:rPr>
              <w:t>I</w:t>
            </w:r>
            <w:r w:rsidR="00720A7B" w:rsidRPr="000D08B9">
              <w:rPr>
                <w:rFonts w:cs="Arial"/>
                <w:sz w:val="18"/>
                <w:szCs w:val="20"/>
              </w:rPr>
              <w:t xml:space="preserve">ron ore exports to </w:t>
            </w:r>
            <w:r w:rsidR="00BE38E1" w:rsidRPr="000D08B9">
              <w:rPr>
                <w:rFonts w:cs="Arial"/>
                <w:sz w:val="18"/>
                <w:szCs w:val="20"/>
              </w:rPr>
              <w:t xml:space="preserve">all </w:t>
            </w:r>
            <w:r w:rsidR="00C6078D" w:rsidRPr="000D08B9">
              <w:rPr>
                <w:rFonts w:cs="Arial"/>
                <w:sz w:val="18"/>
                <w:szCs w:val="20"/>
              </w:rPr>
              <w:t>other countries</w:t>
            </w:r>
            <w:r w:rsidR="001C203B" w:rsidRPr="000D08B9">
              <w:rPr>
                <w:rFonts w:cs="Arial"/>
                <w:sz w:val="18"/>
                <w:szCs w:val="20"/>
                <w:vertAlign w:val="superscript"/>
              </w:rPr>
              <w:t>1</w:t>
            </w:r>
            <w:r w:rsidR="00A57290" w:rsidRPr="000D08B9">
              <w:rPr>
                <w:rFonts w:cs="Arial"/>
                <w:sz w:val="18"/>
                <w:szCs w:val="20"/>
              </w:rPr>
              <w:t xml:space="preserve"> </w:t>
            </w:r>
            <w:r w:rsidR="00437F37" w:rsidRPr="000D08B9">
              <w:rPr>
                <w:rFonts w:cs="Arial"/>
                <w:sz w:val="18"/>
                <w:szCs w:val="20"/>
              </w:rPr>
              <w:t>fell 14</w:t>
            </w:r>
            <w:r w:rsidR="00476CCD" w:rsidRPr="000D08B9">
              <w:rPr>
                <w:rFonts w:cs="Arial"/>
                <w:sz w:val="18"/>
                <w:szCs w:val="20"/>
              </w:rPr>
              <w:t xml:space="preserve">% to </w:t>
            </w:r>
            <w:r w:rsidR="00437F37" w:rsidRPr="000D08B9">
              <w:rPr>
                <w:rFonts w:cs="Arial"/>
                <w:sz w:val="18"/>
                <w:szCs w:val="20"/>
              </w:rPr>
              <w:t>18</w:t>
            </w:r>
            <w:r w:rsidR="001C203B" w:rsidRPr="000D08B9">
              <w:rPr>
                <w:rFonts w:cs="Arial"/>
                <w:sz w:val="18"/>
                <w:szCs w:val="20"/>
              </w:rPr>
              <w:t> </w:t>
            </w:r>
            <w:r w:rsidR="00720A7B" w:rsidRPr="000D08B9">
              <w:rPr>
                <w:rFonts w:cs="Arial"/>
                <w:sz w:val="18"/>
                <w:szCs w:val="20"/>
              </w:rPr>
              <w:t>million tonnes</w:t>
            </w:r>
            <w:r w:rsidR="001C203B" w:rsidRPr="000D08B9">
              <w:rPr>
                <w:rFonts w:cs="Arial"/>
                <w:sz w:val="18"/>
                <w:szCs w:val="20"/>
              </w:rPr>
              <w:t xml:space="preserve"> in 20</w:t>
            </w:r>
            <w:r w:rsidR="00476CCD" w:rsidRPr="000D08B9">
              <w:rPr>
                <w:rFonts w:cs="Arial"/>
                <w:sz w:val="18"/>
                <w:szCs w:val="20"/>
              </w:rPr>
              <w:t>19</w:t>
            </w:r>
            <w:r w:rsidR="00437F37" w:rsidRPr="000D08B9">
              <w:rPr>
                <w:rFonts w:cs="Arial"/>
                <w:sz w:val="18"/>
                <w:szCs w:val="20"/>
              </w:rPr>
              <w:t>-20</w:t>
            </w:r>
            <w:r w:rsidR="00526E70" w:rsidRPr="000D08B9">
              <w:rPr>
                <w:rFonts w:cs="Arial"/>
                <w:sz w:val="18"/>
                <w:szCs w:val="20"/>
              </w:rPr>
              <w:t>.</w:t>
            </w:r>
          </w:p>
          <w:p w14:paraId="563DE30F" w14:textId="3AA7AC51" w:rsidR="00656631" w:rsidRPr="00F33A1F" w:rsidRDefault="00526E70" w:rsidP="006E018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F33A1F">
              <w:rPr>
                <w:rFonts w:cs="Arial"/>
                <w:sz w:val="18"/>
                <w:szCs w:val="20"/>
              </w:rPr>
              <w:t>In 201</w:t>
            </w:r>
            <w:r w:rsidR="006E018B" w:rsidRPr="00F33A1F">
              <w:rPr>
                <w:rFonts w:cs="Arial"/>
                <w:sz w:val="18"/>
                <w:szCs w:val="20"/>
              </w:rPr>
              <w:t>9</w:t>
            </w:r>
            <w:r w:rsidRPr="00F33A1F">
              <w:rPr>
                <w:rFonts w:cs="Arial"/>
                <w:sz w:val="18"/>
                <w:szCs w:val="20"/>
              </w:rPr>
              <w:t>, Western Australia accounted for</w:t>
            </w:r>
            <w:r w:rsidR="006E018B" w:rsidRPr="00F33A1F">
              <w:rPr>
                <w:rFonts w:cs="Arial"/>
                <w:sz w:val="18"/>
                <w:szCs w:val="20"/>
              </w:rPr>
              <w:t xml:space="preserve"> a large proportion o</w:t>
            </w:r>
            <w:r w:rsidRPr="00F33A1F">
              <w:rPr>
                <w:rFonts w:cs="Arial"/>
                <w:sz w:val="18"/>
                <w:szCs w:val="20"/>
              </w:rPr>
              <w:t>f the iron ore import</w:t>
            </w:r>
            <w:r w:rsidR="00CD1ADD" w:rsidRPr="00F33A1F">
              <w:rPr>
                <w:rFonts w:cs="Arial"/>
                <w:sz w:val="18"/>
                <w:szCs w:val="20"/>
              </w:rPr>
              <w:t xml:space="preserve">ed by </w:t>
            </w:r>
            <w:r w:rsidR="00873D1B" w:rsidRPr="00F33A1F">
              <w:rPr>
                <w:rFonts w:cs="Arial"/>
                <w:sz w:val="18"/>
                <w:szCs w:val="20"/>
              </w:rPr>
              <w:t>China</w:t>
            </w:r>
            <w:r w:rsidR="00244DA1" w:rsidRPr="00F33A1F">
              <w:rPr>
                <w:rFonts w:cs="Arial"/>
                <w:sz w:val="18"/>
                <w:szCs w:val="20"/>
              </w:rPr>
              <w:t> </w:t>
            </w:r>
            <w:r w:rsidR="00873D1B" w:rsidRPr="00F33A1F">
              <w:rPr>
                <w:rFonts w:cs="Arial"/>
                <w:sz w:val="18"/>
                <w:szCs w:val="20"/>
              </w:rPr>
              <w:t>(6</w:t>
            </w:r>
            <w:r w:rsidR="006E018B" w:rsidRPr="00F33A1F">
              <w:rPr>
                <w:rFonts w:cs="Arial"/>
                <w:sz w:val="18"/>
                <w:szCs w:val="20"/>
              </w:rPr>
              <w:t>5</w:t>
            </w:r>
            <w:r w:rsidRPr="00F33A1F">
              <w:rPr>
                <w:rFonts w:cs="Arial"/>
                <w:sz w:val="18"/>
                <w:szCs w:val="20"/>
              </w:rPr>
              <w:t xml:space="preserve">%), </w:t>
            </w:r>
            <w:r w:rsidR="00CD1ADD" w:rsidRPr="00F33A1F">
              <w:rPr>
                <w:rFonts w:cs="Arial"/>
                <w:sz w:val="18"/>
                <w:szCs w:val="20"/>
              </w:rPr>
              <w:t>Japan (</w:t>
            </w:r>
            <w:r w:rsidR="006E018B" w:rsidRPr="00F33A1F">
              <w:rPr>
                <w:rFonts w:cs="Arial"/>
                <w:sz w:val="18"/>
                <w:szCs w:val="20"/>
              </w:rPr>
              <w:t>49</w:t>
            </w:r>
            <w:r w:rsidR="00CD1ADD" w:rsidRPr="00F33A1F">
              <w:rPr>
                <w:rFonts w:cs="Arial"/>
                <w:sz w:val="18"/>
                <w:szCs w:val="20"/>
              </w:rPr>
              <w:t>%)</w:t>
            </w:r>
            <w:r w:rsidR="007F0DE0" w:rsidRPr="00F33A1F">
              <w:rPr>
                <w:rFonts w:cs="Arial"/>
                <w:sz w:val="18"/>
                <w:szCs w:val="20"/>
              </w:rPr>
              <w:t xml:space="preserve"> and </w:t>
            </w:r>
            <w:r w:rsidR="00A3226C" w:rsidRPr="00F33A1F">
              <w:rPr>
                <w:rFonts w:cs="Arial"/>
                <w:sz w:val="18"/>
                <w:szCs w:val="20"/>
              </w:rPr>
              <w:t>South</w:t>
            </w:r>
            <w:r w:rsidR="00244DA1" w:rsidRPr="00F33A1F">
              <w:rPr>
                <w:rFonts w:cs="Arial"/>
                <w:sz w:val="18"/>
                <w:szCs w:val="20"/>
              </w:rPr>
              <w:t> </w:t>
            </w:r>
            <w:r w:rsidRPr="00F33A1F">
              <w:rPr>
                <w:rFonts w:cs="Arial"/>
                <w:sz w:val="18"/>
                <w:szCs w:val="20"/>
              </w:rPr>
              <w:t>Korea</w:t>
            </w:r>
            <w:r w:rsidR="00244DA1" w:rsidRPr="00F33A1F">
              <w:rPr>
                <w:rFonts w:cs="Arial"/>
                <w:sz w:val="18"/>
                <w:szCs w:val="20"/>
              </w:rPr>
              <w:t> </w:t>
            </w:r>
            <w:r w:rsidRPr="00F33A1F">
              <w:rPr>
                <w:rFonts w:cs="Arial"/>
                <w:sz w:val="18"/>
                <w:szCs w:val="20"/>
              </w:rPr>
              <w:t>(</w:t>
            </w:r>
            <w:r w:rsidR="006E018B" w:rsidRPr="00F33A1F">
              <w:rPr>
                <w:rFonts w:cs="Arial"/>
                <w:sz w:val="18"/>
                <w:szCs w:val="20"/>
              </w:rPr>
              <w:t>71</w:t>
            </w:r>
            <w:r w:rsidR="00873D1B" w:rsidRPr="00F33A1F">
              <w:rPr>
                <w:rFonts w:cs="Arial"/>
                <w:sz w:val="18"/>
                <w:szCs w:val="20"/>
              </w:rPr>
              <w:t>%)</w:t>
            </w:r>
            <w:r w:rsidR="00CD1ADD" w:rsidRPr="00F33A1F">
              <w:rPr>
                <w:rFonts w:cs="Arial"/>
                <w:sz w:val="18"/>
                <w:szCs w:val="20"/>
              </w:rPr>
              <w:t>.</w:t>
            </w:r>
          </w:p>
        </w:tc>
      </w:tr>
      <w:tr w:rsidR="00656631" w:rsidRPr="00E84F58" w14:paraId="57F5AF18" w14:textId="77777777" w:rsidTr="00637E8D">
        <w:tc>
          <w:tcPr>
            <w:tcW w:w="6661" w:type="dxa"/>
            <w:shd w:val="clear" w:color="auto" w:fill="auto"/>
          </w:tcPr>
          <w:p w14:paraId="751E6E85" w14:textId="23B9E4CC" w:rsidR="00656631" w:rsidRPr="00E84F58" w:rsidRDefault="00944F7E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2ADEDA61">
                <v:shape id="_x0000_i1030" type="#_x0000_t75" style="width:293.65pt;height:177pt;mso-left-percent:-10001;mso-top-percent:-10001;mso-position-horizontal:absolute;mso-position-horizontal-relative:char;mso-position-vertical:absolute;mso-position-vertical-relative:line;mso-left-percent:-10001;mso-top-percent:-10001">
                  <v:imagedata r:id="rId17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2B82E771" w14:textId="77777777" w:rsidR="00656631" w:rsidRPr="00E84F58" w:rsidRDefault="00656631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656631" w:rsidRPr="00E84F58" w14:paraId="245BD214" w14:textId="77777777" w:rsidTr="00637E8D">
        <w:tc>
          <w:tcPr>
            <w:tcW w:w="6661" w:type="dxa"/>
            <w:shd w:val="clear" w:color="auto" w:fill="auto"/>
          </w:tcPr>
          <w:p w14:paraId="6A997C27" w14:textId="4E90CACD" w:rsidR="00845924" w:rsidRPr="000D08B9" w:rsidRDefault="001C203B" w:rsidP="001C203B">
            <w:pPr>
              <w:rPr>
                <w:rFonts w:cs="Arial"/>
                <w:sz w:val="10"/>
                <w:szCs w:val="20"/>
              </w:rPr>
            </w:pPr>
            <w:r w:rsidRPr="000D08B9">
              <w:rPr>
                <w:rFonts w:cs="Arial"/>
                <w:sz w:val="10"/>
                <w:szCs w:val="20"/>
              </w:rPr>
              <w:t xml:space="preserve">(a) </w:t>
            </w:r>
            <w:r w:rsidR="00845924" w:rsidRPr="000D08B9">
              <w:rPr>
                <w:rFonts w:cs="Arial"/>
                <w:sz w:val="10"/>
                <w:szCs w:val="20"/>
              </w:rPr>
              <w:t>Include</w:t>
            </w:r>
            <w:r w:rsidR="00973226" w:rsidRPr="000D08B9">
              <w:rPr>
                <w:rFonts w:cs="Arial"/>
                <w:sz w:val="10"/>
                <w:szCs w:val="20"/>
              </w:rPr>
              <w:t>d</w:t>
            </w:r>
            <w:r w:rsidR="00845924" w:rsidRPr="000D08B9">
              <w:rPr>
                <w:rFonts w:cs="Arial"/>
                <w:sz w:val="10"/>
                <w:szCs w:val="20"/>
              </w:rPr>
              <w:t xml:space="preserve"> mainly Vietnam, Indonesia,</w:t>
            </w:r>
            <w:r w:rsidR="00437F37" w:rsidRPr="000D08B9">
              <w:rPr>
                <w:rFonts w:cs="Arial"/>
                <w:sz w:val="10"/>
                <w:szCs w:val="20"/>
              </w:rPr>
              <w:t xml:space="preserve"> Hong Kong (SAR of China), </w:t>
            </w:r>
            <w:r w:rsidR="00973226" w:rsidRPr="000D08B9">
              <w:rPr>
                <w:rFonts w:cs="Arial"/>
                <w:sz w:val="10"/>
                <w:szCs w:val="20"/>
              </w:rPr>
              <w:t xml:space="preserve">Malaysia, </w:t>
            </w:r>
            <w:r w:rsidR="00845924" w:rsidRPr="000D08B9">
              <w:rPr>
                <w:rFonts w:cs="Arial"/>
                <w:sz w:val="10"/>
                <w:szCs w:val="20"/>
              </w:rPr>
              <w:t xml:space="preserve">Singapore and </w:t>
            </w:r>
            <w:r w:rsidR="00437F37" w:rsidRPr="000D08B9">
              <w:rPr>
                <w:rFonts w:cs="Arial"/>
                <w:sz w:val="10"/>
                <w:szCs w:val="20"/>
              </w:rPr>
              <w:t xml:space="preserve">India </w:t>
            </w:r>
            <w:r w:rsidR="00973226" w:rsidRPr="000D08B9">
              <w:rPr>
                <w:rFonts w:cs="Arial"/>
                <w:sz w:val="10"/>
                <w:szCs w:val="20"/>
              </w:rPr>
              <w:t>in 20</w:t>
            </w:r>
            <w:r w:rsidR="00476CCD" w:rsidRPr="000D08B9">
              <w:rPr>
                <w:rFonts w:cs="Arial"/>
                <w:sz w:val="10"/>
                <w:szCs w:val="20"/>
              </w:rPr>
              <w:t>19</w:t>
            </w:r>
            <w:r w:rsidR="00437F37" w:rsidRPr="000D08B9">
              <w:rPr>
                <w:rFonts w:cs="Arial"/>
                <w:sz w:val="10"/>
                <w:szCs w:val="20"/>
              </w:rPr>
              <w:t>-20</w:t>
            </w:r>
            <w:r w:rsidR="00845924" w:rsidRPr="000D08B9">
              <w:rPr>
                <w:rFonts w:cs="Arial"/>
                <w:sz w:val="10"/>
                <w:szCs w:val="20"/>
              </w:rPr>
              <w:t>.</w:t>
            </w:r>
          </w:p>
          <w:p w14:paraId="09F0E30E" w14:textId="4A804F3B" w:rsidR="001C203B" w:rsidRPr="000D08B9" w:rsidRDefault="001C203B" w:rsidP="001C203B">
            <w:pPr>
              <w:rPr>
                <w:rFonts w:cs="Arial"/>
                <w:sz w:val="10"/>
                <w:szCs w:val="20"/>
              </w:rPr>
            </w:pPr>
            <w:r w:rsidRPr="000D08B9">
              <w:rPr>
                <w:rFonts w:cs="Arial"/>
                <w:sz w:val="10"/>
                <w:szCs w:val="20"/>
                <w:vertAlign w:val="superscript"/>
              </w:rPr>
              <w:t>1</w:t>
            </w:r>
            <w:r w:rsidRPr="000D08B9">
              <w:rPr>
                <w:rFonts w:cs="Arial"/>
                <w:sz w:val="10"/>
                <w:szCs w:val="20"/>
              </w:rPr>
              <w:t xml:space="preserve"> Excludes China, Japan, South Korea and Taiwan.</w:t>
            </w:r>
          </w:p>
          <w:p w14:paraId="074B0BC8" w14:textId="21D7B077" w:rsidR="00656631" w:rsidRPr="000D08B9" w:rsidRDefault="00A562D1" w:rsidP="00062B27">
            <w:pPr>
              <w:rPr>
                <w:rFonts w:cs="Arial"/>
                <w:sz w:val="10"/>
                <w:szCs w:val="20"/>
              </w:rPr>
            </w:pPr>
            <w:r w:rsidRPr="000D08B9">
              <w:rPr>
                <w:rFonts w:cs="Arial"/>
                <w:sz w:val="10"/>
                <w:szCs w:val="20"/>
              </w:rPr>
              <w:t>Source: ABS 5368.0 International Trade in Goods and Services.</w:t>
            </w:r>
          </w:p>
        </w:tc>
        <w:tc>
          <w:tcPr>
            <w:tcW w:w="3969" w:type="dxa"/>
            <w:vMerge/>
            <w:shd w:val="clear" w:color="auto" w:fill="auto"/>
          </w:tcPr>
          <w:p w14:paraId="650FA5E3" w14:textId="77777777" w:rsidR="00656631" w:rsidRPr="00E84F58" w:rsidRDefault="00656631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F7B973" w14:textId="5F38AB2B" w:rsidR="00E9487E" w:rsidRDefault="00E9487E" w:rsidP="00062B27">
      <w:pPr>
        <w:rPr>
          <w:rFonts w:cs="Arial"/>
          <w:sz w:val="20"/>
          <w:szCs w:val="20"/>
        </w:rPr>
      </w:pPr>
    </w:p>
    <w:p w14:paraId="1EABB773" w14:textId="77777777" w:rsidR="004916E9" w:rsidRPr="00975420" w:rsidRDefault="004916E9" w:rsidP="00062B27">
      <w:pPr>
        <w:rPr>
          <w:rFonts w:cs="Arial"/>
          <w:sz w:val="4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10632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4916E9" w:rsidRPr="00E84F58" w14:paraId="4BFBFEA9" w14:textId="77777777" w:rsidTr="0010150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A9750B" w14:textId="5DA033F1" w:rsidR="004916E9" w:rsidRPr="00E84F58" w:rsidRDefault="00DF5B54" w:rsidP="00062B27">
            <w:pPr>
              <w:jc w:val="center"/>
              <w:rPr>
                <w:rFonts w:cs="Arial"/>
                <w:sz w:val="20"/>
                <w:szCs w:val="20"/>
              </w:rPr>
            </w:pPr>
            <w:r w:rsidRPr="00C90210">
              <w:rPr>
                <w:rFonts w:cs="Arial"/>
                <w:b/>
                <w:color w:val="C0504D"/>
                <w:sz w:val="20"/>
                <w:szCs w:val="20"/>
              </w:rPr>
              <w:t>WESTERN AUSTRALIA</w:t>
            </w:r>
            <w:r w:rsidR="0047053A">
              <w:rPr>
                <w:rFonts w:cs="Arial"/>
                <w:b/>
                <w:color w:val="C0504D"/>
                <w:sz w:val="20"/>
                <w:szCs w:val="20"/>
              </w:rPr>
              <w:t xml:space="preserve">’S </w:t>
            </w:r>
            <w:r w:rsidRPr="00C90210">
              <w:rPr>
                <w:rFonts w:cs="Arial"/>
                <w:b/>
                <w:color w:val="C0504D"/>
                <w:sz w:val="20"/>
                <w:szCs w:val="20"/>
              </w:rPr>
              <w:t>SUPPLY</w:t>
            </w:r>
          </w:p>
        </w:tc>
      </w:tr>
    </w:tbl>
    <w:p w14:paraId="1D65872B" w14:textId="70611A1B" w:rsidR="004916E9" w:rsidRPr="00975420" w:rsidRDefault="004916E9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862788" w:rsidRPr="00E84F58" w14:paraId="62EEB1B5" w14:textId="77777777" w:rsidTr="005C7EBB">
        <w:tc>
          <w:tcPr>
            <w:tcW w:w="6661" w:type="dxa"/>
            <w:shd w:val="clear" w:color="auto" w:fill="C0504D"/>
          </w:tcPr>
          <w:p w14:paraId="5AFF3411" w14:textId="5449358A" w:rsidR="00862788" w:rsidRPr="00E84F58" w:rsidRDefault="00A756B3" w:rsidP="00062B27">
            <w:pPr>
              <w:jc w:val="center"/>
              <w:rPr>
                <w:rFonts w:cs="Arial"/>
                <w:sz w:val="20"/>
                <w:szCs w:val="20"/>
              </w:rPr>
            </w:pPr>
            <w:r w:rsidRPr="00C90210">
              <w:rPr>
                <w:rFonts w:cs="Arial"/>
                <w:color w:val="FFFFFF"/>
                <w:sz w:val="20"/>
                <w:szCs w:val="20"/>
              </w:rPr>
              <w:t>Iron ore sales</w:t>
            </w:r>
            <w:r w:rsidR="008558D7">
              <w:rPr>
                <w:rFonts w:cs="Arial"/>
                <w:color w:val="FFFFFF"/>
                <w:sz w:val="20"/>
                <w:szCs w:val="20"/>
              </w:rPr>
              <w:t xml:space="preserve"> volumes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1CD1F99" w14:textId="751CAAAF" w:rsidR="00ED5553" w:rsidRPr="000A487B" w:rsidRDefault="00ED5553" w:rsidP="00ED5553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0A487B">
              <w:rPr>
                <w:rFonts w:cs="Arial"/>
                <w:sz w:val="18"/>
                <w:szCs w:val="20"/>
              </w:rPr>
              <w:t>Western Australia’s iron ore sales</w:t>
            </w:r>
            <w:r w:rsidR="00403916" w:rsidRPr="000A487B">
              <w:rPr>
                <w:rFonts w:cs="Arial"/>
                <w:sz w:val="18"/>
                <w:szCs w:val="20"/>
              </w:rPr>
              <w:t xml:space="preserve"> are</w:t>
            </w:r>
            <w:r w:rsidR="00827FF7" w:rsidRPr="000A487B">
              <w:rPr>
                <w:rFonts w:cs="Arial"/>
                <w:sz w:val="18"/>
                <w:szCs w:val="20"/>
              </w:rPr>
              <w:t xml:space="preserve"> likely </w:t>
            </w:r>
            <w:r w:rsidR="00403916" w:rsidRPr="000A487B">
              <w:rPr>
                <w:rFonts w:cs="Arial"/>
                <w:sz w:val="18"/>
                <w:szCs w:val="20"/>
              </w:rPr>
              <w:t xml:space="preserve">to increase over coming years </w:t>
            </w:r>
            <w:r w:rsidR="00054AED" w:rsidRPr="000A487B">
              <w:rPr>
                <w:rFonts w:cs="Arial"/>
                <w:sz w:val="18"/>
                <w:szCs w:val="20"/>
              </w:rPr>
              <w:t>as</w:t>
            </w:r>
            <w:r w:rsidRPr="000A487B">
              <w:rPr>
                <w:rFonts w:cs="Arial"/>
                <w:sz w:val="18"/>
                <w:szCs w:val="20"/>
              </w:rPr>
              <w:t xml:space="preserve"> production</w:t>
            </w:r>
            <w:r w:rsidR="00054AED" w:rsidRPr="000A487B">
              <w:rPr>
                <w:rFonts w:cs="Arial"/>
                <w:sz w:val="18"/>
                <w:szCs w:val="20"/>
              </w:rPr>
              <w:t xml:space="preserve"> </w:t>
            </w:r>
            <w:r w:rsidR="00966B2D" w:rsidRPr="000A487B">
              <w:rPr>
                <w:rFonts w:cs="Arial"/>
                <w:sz w:val="18"/>
                <w:szCs w:val="20"/>
              </w:rPr>
              <w:t>increases</w:t>
            </w:r>
            <w:r w:rsidR="003A4A63" w:rsidRPr="000A487B">
              <w:rPr>
                <w:rFonts w:cs="Arial"/>
                <w:sz w:val="18"/>
                <w:szCs w:val="20"/>
              </w:rPr>
              <w:t xml:space="preserve"> to</w:t>
            </w:r>
            <w:r w:rsidR="002C244C" w:rsidRPr="000A487B">
              <w:rPr>
                <w:rFonts w:cs="Arial"/>
                <w:sz w:val="18"/>
                <w:szCs w:val="20"/>
              </w:rPr>
              <w:t xml:space="preserve"> </w:t>
            </w:r>
            <w:r w:rsidR="00054AED" w:rsidRPr="000A487B">
              <w:rPr>
                <w:rFonts w:cs="Arial"/>
                <w:sz w:val="18"/>
                <w:szCs w:val="20"/>
              </w:rPr>
              <w:t xml:space="preserve">full </w:t>
            </w:r>
            <w:r w:rsidR="00966B2D" w:rsidRPr="000A487B">
              <w:rPr>
                <w:rFonts w:cs="Arial"/>
                <w:sz w:val="18"/>
                <w:szCs w:val="20"/>
              </w:rPr>
              <w:t>capacity</w:t>
            </w:r>
            <w:r w:rsidR="00A31FB3" w:rsidRPr="000A487B">
              <w:rPr>
                <w:rFonts w:cs="Arial"/>
                <w:sz w:val="18"/>
                <w:szCs w:val="20"/>
              </w:rPr>
              <w:t xml:space="preserve"> of installed infrastructure</w:t>
            </w:r>
            <w:r w:rsidRPr="000A487B">
              <w:rPr>
                <w:rFonts w:cs="Arial"/>
                <w:sz w:val="18"/>
                <w:szCs w:val="20"/>
              </w:rPr>
              <w:t>.</w:t>
            </w:r>
          </w:p>
          <w:p w14:paraId="1962C096" w14:textId="55BDB72D" w:rsidR="005E7B72" w:rsidRPr="007E1B70" w:rsidRDefault="00A756B3" w:rsidP="00ED5553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In 201</w:t>
            </w:r>
            <w:r w:rsidR="00E44626" w:rsidRPr="007E1B70">
              <w:rPr>
                <w:rFonts w:cs="Arial"/>
                <w:sz w:val="18"/>
                <w:szCs w:val="20"/>
              </w:rPr>
              <w:t>9-20</w:t>
            </w:r>
            <w:r w:rsidRPr="007E1B70">
              <w:rPr>
                <w:rFonts w:cs="Arial"/>
                <w:sz w:val="18"/>
                <w:szCs w:val="20"/>
              </w:rPr>
              <w:t xml:space="preserve">, </w:t>
            </w:r>
            <w:r w:rsidR="005E7B72" w:rsidRPr="007E1B70">
              <w:rPr>
                <w:rFonts w:cs="Arial"/>
                <w:sz w:val="18"/>
                <w:szCs w:val="20"/>
              </w:rPr>
              <w:t xml:space="preserve">Western Australia’s </w:t>
            </w:r>
            <w:r w:rsidRPr="007E1B70">
              <w:rPr>
                <w:rFonts w:cs="Arial"/>
                <w:sz w:val="18"/>
                <w:szCs w:val="20"/>
              </w:rPr>
              <w:t xml:space="preserve">iron ore sales </w:t>
            </w:r>
            <w:r w:rsidR="00E44626" w:rsidRPr="007E1B70">
              <w:rPr>
                <w:rFonts w:cs="Arial"/>
                <w:sz w:val="18"/>
                <w:szCs w:val="20"/>
              </w:rPr>
              <w:t>rose 5</w:t>
            </w:r>
            <w:r w:rsidRPr="007E1B70">
              <w:rPr>
                <w:rFonts w:cs="Arial"/>
                <w:sz w:val="18"/>
                <w:szCs w:val="20"/>
              </w:rPr>
              <w:t xml:space="preserve">% </w:t>
            </w:r>
            <w:r w:rsidR="00195914" w:rsidRPr="007E1B70">
              <w:rPr>
                <w:rFonts w:cs="Arial"/>
                <w:sz w:val="18"/>
                <w:szCs w:val="20"/>
              </w:rPr>
              <w:t xml:space="preserve">to </w:t>
            </w:r>
            <w:r w:rsidR="00E44626" w:rsidRPr="007E1B70">
              <w:rPr>
                <w:rFonts w:cs="Arial"/>
                <w:sz w:val="18"/>
                <w:szCs w:val="20"/>
              </w:rPr>
              <w:t>836</w:t>
            </w:r>
            <w:r w:rsidR="00195914" w:rsidRPr="007E1B70">
              <w:rPr>
                <w:rFonts w:cs="Arial"/>
                <w:sz w:val="18"/>
                <w:szCs w:val="20"/>
              </w:rPr>
              <w:t xml:space="preserve"> million tonnes</w:t>
            </w:r>
            <w:r w:rsidRPr="007E1B70">
              <w:rPr>
                <w:rFonts w:cs="Arial"/>
                <w:sz w:val="18"/>
                <w:szCs w:val="20"/>
              </w:rPr>
              <w:t xml:space="preserve">, </w:t>
            </w:r>
            <w:r w:rsidR="00E44626" w:rsidRPr="007E1B70">
              <w:rPr>
                <w:rFonts w:cs="Arial"/>
                <w:sz w:val="18"/>
                <w:szCs w:val="20"/>
              </w:rPr>
              <w:t xml:space="preserve">below </w:t>
            </w:r>
            <w:r w:rsidRPr="007E1B70">
              <w:rPr>
                <w:rFonts w:cs="Arial"/>
                <w:sz w:val="18"/>
                <w:szCs w:val="20"/>
              </w:rPr>
              <w:t>annual average growth</w:t>
            </w:r>
            <w:r w:rsidR="00D17118" w:rsidRPr="007E1B70">
              <w:rPr>
                <w:rFonts w:cs="Arial"/>
                <w:sz w:val="18"/>
                <w:szCs w:val="20"/>
                <w:vertAlign w:val="superscript"/>
              </w:rPr>
              <w:t>1</w:t>
            </w:r>
            <w:r w:rsidR="00E44626" w:rsidRPr="007E1B70">
              <w:rPr>
                <w:rFonts w:cs="Arial"/>
                <w:sz w:val="18"/>
                <w:szCs w:val="20"/>
              </w:rPr>
              <w:t xml:space="preserve"> of 8% over the past 10</w:t>
            </w:r>
            <w:r w:rsidRPr="007E1B70">
              <w:rPr>
                <w:rFonts w:cs="Arial"/>
                <w:sz w:val="18"/>
                <w:szCs w:val="20"/>
              </w:rPr>
              <w:t xml:space="preserve"> years.</w:t>
            </w:r>
          </w:p>
          <w:p w14:paraId="27D17AE6" w14:textId="7F561E5C" w:rsidR="009244B3" w:rsidRPr="007E1B70" w:rsidRDefault="00B424CE" w:rsidP="00F55EE4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7E1B70">
              <w:rPr>
                <w:rFonts w:cs="Arial"/>
                <w:sz w:val="18"/>
                <w:szCs w:val="20"/>
              </w:rPr>
              <w:t>Western Australia’s iron ore sales are forecast</w:t>
            </w:r>
            <w:r w:rsidR="003A0FF7" w:rsidRPr="007E1B70">
              <w:rPr>
                <w:rFonts w:cs="Arial"/>
                <w:sz w:val="18"/>
                <w:szCs w:val="20"/>
                <w:vertAlign w:val="superscript"/>
              </w:rPr>
              <w:t>2</w:t>
            </w:r>
            <w:r w:rsidRPr="007E1B70">
              <w:rPr>
                <w:rFonts w:cs="Arial"/>
                <w:sz w:val="18"/>
                <w:szCs w:val="20"/>
              </w:rPr>
              <w:t xml:space="preserve"> to </w:t>
            </w:r>
            <w:r w:rsidR="00A756B3" w:rsidRPr="007E1B70">
              <w:rPr>
                <w:rFonts w:cs="Arial"/>
                <w:sz w:val="18"/>
                <w:szCs w:val="20"/>
              </w:rPr>
              <w:t>rise to 8</w:t>
            </w:r>
            <w:r w:rsidR="00CD5226" w:rsidRPr="007E1B70">
              <w:rPr>
                <w:rFonts w:cs="Arial"/>
                <w:sz w:val="18"/>
                <w:szCs w:val="20"/>
              </w:rPr>
              <w:t>78</w:t>
            </w:r>
            <w:r w:rsidR="00A756B3" w:rsidRPr="007E1B70">
              <w:rPr>
                <w:rFonts w:cs="Arial"/>
                <w:sz w:val="18"/>
                <w:szCs w:val="20"/>
              </w:rPr>
              <w:t xml:space="preserve"> million tonnes</w:t>
            </w:r>
            <w:r w:rsidR="000067EB" w:rsidRPr="007E1B70">
              <w:rPr>
                <w:rFonts w:cs="Arial"/>
                <w:sz w:val="18"/>
                <w:szCs w:val="20"/>
              </w:rPr>
              <w:t xml:space="preserve"> by </w:t>
            </w:r>
            <w:r w:rsidR="00A756B3" w:rsidRPr="007E1B70">
              <w:rPr>
                <w:rFonts w:cs="Arial"/>
                <w:sz w:val="18"/>
                <w:szCs w:val="20"/>
              </w:rPr>
              <w:t>202</w:t>
            </w:r>
            <w:r w:rsidR="00CD5226" w:rsidRPr="007E1B70">
              <w:rPr>
                <w:rFonts w:cs="Arial"/>
                <w:sz w:val="18"/>
                <w:szCs w:val="20"/>
              </w:rPr>
              <w:t>3-24</w:t>
            </w:r>
            <w:r w:rsidR="00A756B3" w:rsidRPr="007E1B70">
              <w:rPr>
                <w:rFonts w:cs="Arial"/>
                <w:sz w:val="18"/>
                <w:szCs w:val="20"/>
              </w:rPr>
              <w:t>.</w:t>
            </w:r>
          </w:p>
          <w:p w14:paraId="0B7D59E7" w14:textId="423E4595" w:rsidR="0025738B" w:rsidRPr="001859A9" w:rsidRDefault="0025738B" w:rsidP="00AE725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1859A9">
              <w:rPr>
                <w:rFonts w:cs="Arial"/>
                <w:sz w:val="18"/>
                <w:szCs w:val="20"/>
              </w:rPr>
              <w:t>Western Australia pr</w:t>
            </w:r>
            <w:r w:rsidR="002B4722" w:rsidRPr="001859A9">
              <w:rPr>
                <w:rFonts w:cs="Arial"/>
                <w:sz w:val="18"/>
                <w:szCs w:val="20"/>
              </w:rPr>
              <w:t>oduced mainly iron ore fines (72</w:t>
            </w:r>
            <w:r w:rsidRPr="001859A9">
              <w:rPr>
                <w:rFonts w:cs="Arial"/>
                <w:sz w:val="18"/>
                <w:szCs w:val="20"/>
              </w:rPr>
              <w:t>%) in 201</w:t>
            </w:r>
            <w:r w:rsidR="00AE725B" w:rsidRPr="001859A9">
              <w:rPr>
                <w:rFonts w:cs="Arial"/>
                <w:sz w:val="18"/>
                <w:szCs w:val="20"/>
              </w:rPr>
              <w:t>9</w:t>
            </w:r>
            <w:r w:rsidRPr="001859A9">
              <w:rPr>
                <w:rFonts w:cs="Arial"/>
                <w:sz w:val="18"/>
                <w:szCs w:val="20"/>
              </w:rPr>
              <w:t>, followed by lump (2</w:t>
            </w:r>
            <w:r w:rsidR="002B4722" w:rsidRPr="001859A9">
              <w:rPr>
                <w:rFonts w:cs="Arial"/>
                <w:sz w:val="18"/>
                <w:szCs w:val="20"/>
              </w:rPr>
              <w:t>5%) and concentrate (3</w:t>
            </w:r>
            <w:r w:rsidRPr="001859A9">
              <w:rPr>
                <w:rFonts w:cs="Arial"/>
                <w:sz w:val="18"/>
                <w:szCs w:val="20"/>
              </w:rPr>
              <w:t>%).</w:t>
            </w:r>
          </w:p>
        </w:tc>
      </w:tr>
      <w:tr w:rsidR="00862788" w:rsidRPr="00E84F58" w14:paraId="0A17B232" w14:textId="77777777" w:rsidTr="00101506">
        <w:tc>
          <w:tcPr>
            <w:tcW w:w="6661" w:type="dxa"/>
            <w:shd w:val="clear" w:color="auto" w:fill="auto"/>
          </w:tcPr>
          <w:p w14:paraId="7A244ED5" w14:textId="6D88116A" w:rsidR="00862788" w:rsidRPr="00E84F58" w:rsidRDefault="00944F7E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372C2FEF">
                <v:shape id="_x0000_i1031" type="#_x0000_t75" style="width:284.65pt;height:166pt;mso-left-percent:-10001;mso-top-percent:-10001;mso-position-horizontal:absolute;mso-position-horizontal-relative:char;mso-position-vertical:absolute;mso-position-vertical-relative:line;mso-left-percent:-10001;mso-top-percent:-10001">
                  <v:imagedata r:id="rId18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5DF138AA" w14:textId="77777777" w:rsidR="00862788" w:rsidRPr="00E84F58" w:rsidRDefault="00862788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862788" w:rsidRPr="00E84F58" w14:paraId="4409AF6F" w14:textId="77777777" w:rsidTr="00101506">
        <w:tc>
          <w:tcPr>
            <w:tcW w:w="6661" w:type="dxa"/>
            <w:shd w:val="clear" w:color="auto" w:fill="auto"/>
          </w:tcPr>
          <w:p w14:paraId="6508F7F0" w14:textId="46BB0E45" w:rsidR="00D17118" w:rsidRPr="007E1B70" w:rsidRDefault="00D17118" w:rsidP="0001730F">
            <w:pPr>
              <w:rPr>
                <w:rFonts w:cs="Arial"/>
                <w:sz w:val="10"/>
                <w:szCs w:val="20"/>
              </w:rPr>
            </w:pPr>
            <w:r w:rsidRPr="007E1B70">
              <w:rPr>
                <w:rFonts w:cs="Arial"/>
                <w:sz w:val="10"/>
                <w:szCs w:val="20"/>
                <w:vertAlign w:val="superscript"/>
              </w:rPr>
              <w:t>1</w:t>
            </w:r>
            <w:r w:rsidRPr="007E1B70">
              <w:rPr>
                <w:rFonts w:cs="Arial"/>
                <w:sz w:val="10"/>
                <w:szCs w:val="20"/>
              </w:rPr>
              <w:t xml:space="preserve"> Compound annual growth rate.</w:t>
            </w:r>
          </w:p>
          <w:p w14:paraId="4A1BD2DF" w14:textId="790E1428" w:rsidR="00862788" w:rsidRPr="007E1B70" w:rsidRDefault="00A756B3" w:rsidP="007D4906">
            <w:pPr>
              <w:rPr>
                <w:rFonts w:cs="Arial"/>
                <w:sz w:val="10"/>
                <w:szCs w:val="20"/>
              </w:rPr>
            </w:pPr>
            <w:r w:rsidRPr="007E1B70">
              <w:rPr>
                <w:rFonts w:cs="Arial"/>
                <w:sz w:val="10"/>
                <w:szCs w:val="20"/>
              </w:rPr>
              <w:t>Source: W</w:t>
            </w:r>
            <w:r w:rsidR="00226166" w:rsidRPr="007E1B70">
              <w:rPr>
                <w:rFonts w:cs="Arial"/>
                <w:sz w:val="10"/>
                <w:szCs w:val="20"/>
              </w:rPr>
              <w:t>A</w:t>
            </w:r>
            <w:r w:rsidRPr="007E1B70">
              <w:rPr>
                <w:rFonts w:cs="Arial"/>
                <w:sz w:val="10"/>
                <w:szCs w:val="20"/>
              </w:rPr>
              <w:t xml:space="preserve"> Department of Mines, Industry Regulation and Safety, Resource Data Files; and </w:t>
            </w:r>
            <w:r w:rsidR="00D17118" w:rsidRPr="007E1B70">
              <w:rPr>
                <w:rFonts w:cs="Arial"/>
                <w:sz w:val="10"/>
                <w:szCs w:val="20"/>
                <w:vertAlign w:val="superscript"/>
              </w:rPr>
              <w:t>2</w:t>
            </w:r>
            <w:r w:rsidR="0001730F" w:rsidRPr="007E1B70">
              <w:rPr>
                <w:rFonts w:cs="Arial"/>
                <w:sz w:val="10"/>
                <w:szCs w:val="20"/>
              </w:rPr>
              <w:t xml:space="preserve"> </w:t>
            </w:r>
            <w:r w:rsidR="00E4050B" w:rsidRPr="007E1B70">
              <w:rPr>
                <w:rFonts w:cs="Arial"/>
                <w:sz w:val="10"/>
                <w:szCs w:val="20"/>
              </w:rPr>
              <w:t xml:space="preserve">WA Government </w:t>
            </w:r>
            <w:r w:rsidR="00CD5226" w:rsidRPr="007E1B70">
              <w:rPr>
                <w:rFonts w:cs="Arial"/>
                <w:sz w:val="10"/>
                <w:szCs w:val="20"/>
              </w:rPr>
              <w:t>State Budget 2020-21 (October</w:t>
            </w:r>
            <w:r w:rsidR="007D4906" w:rsidRPr="007E1B70">
              <w:rPr>
                <w:rFonts w:cs="Arial"/>
                <w:sz w:val="10"/>
                <w:szCs w:val="20"/>
              </w:rPr>
              <w:t> </w:t>
            </w:r>
            <w:r w:rsidR="00CD5226" w:rsidRPr="007E1B70">
              <w:rPr>
                <w:rFonts w:cs="Arial"/>
                <w:sz w:val="10"/>
                <w:szCs w:val="20"/>
              </w:rPr>
              <w:t>2020</w:t>
            </w:r>
            <w:r w:rsidR="00351E6B" w:rsidRPr="007E1B70">
              <w:rPr>
                <w:rFonts w:cs="Arial"/>
                <w:sz w:val="10"/>
                <w:szCs w:val="20"/>
              </w:rPr>
              <w:t>)</w:t>
            </w:r>
            <w:r w:rsidRPr="007E1B70">
              <w:rPr>
                <w:rFonts w:cs="Arial"/>
                <w:sz w:val="1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2875A362" w14:textId="77777777" w:rsidR="00862788" w:rsidRPr="00E84F58" w:rsidRDefault="00862788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29BFE14" w14:textId="77777777" w:rsidR="004916E9" w:rsidRPr="00975420" w:rsidRDefault="004916E9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862788" w:rsidRPr="00E84F58" w14:paraId="16B8E944" w14:textId="77777777" w:rsidTr="0095701D">
        <w:tc>
          <w:tcPr>
            <w:tcW w:w="6661" w:type="dxa"/>
            <w:shd w:val="clear" w:color="auto" w:fill="C0504D"/>
          </w:tcPr>
          <w:p w14:paraId="756F2D6A" w14:textId="2A95D510" w:rsidR="00862788" w:rsidRPr="00E84F58" w:rsidRDefault="001430F0" w:rsidP="00062B27">
            <w:pPr>
              <w:jc w:val="center"/>
              <w:rPr>
                <w:rFonts w:cs="Arial"/>
                <w:sz w:val="20"/>
                <w:szCs w:val="20"/>
              </w:rPr>
            </w:pPr>
            <w:r w:rsidRPr="00C90210">
              <w:rPr>
                <w:rFonts w:cs="Arial"/>
                <w:color w:val="FFFFFF"/>
                <w:sz w:val="20"/>
                <w:szCs w:val="20"/>
              </w:rPr>
              <w:t xml:space="preserve">Major iron ore </w:t>
            </w:r>
            <w:r>
              <w:rPr>
                <w:rFonts w:cs="Arial"/>
                <w:color w:val="FFFFFF"/>
                <w:sz w:val="20"/>
                <w:szCs w:val="20"/>
              </w:rPr>
              <w:t>miners</w:t>
            </w:r>
            <w:r w:rsidRPr="00C90210">
              <w:rPr>
                <w:rFonts w:cs="Arial"/>
                <w:color w:val="FFFFFF"/>
                <w:sz w:val="20"/>
                <w:szCs w:val="20"/>
              </w:rPr>
              <w:t>’ sales</w:t>
            </w:r>
            <w:r w:rsidRPr="00AD6E92">
              <w:rPr>
                <w:rFonts w:cs="Arial"/>
                <w:color w:val="FFFFFF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color w:val="FFFFFF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4AD7C2B" w14:textId="77777777" w:rsidR="00351E6B" w:rsidRPr="00AD6E92" w:rsidRDefault="00351E6B" w:rsidP="00351E6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626885">
              <w:rPr>
                <w:rFonts w:cs="Arial"/>
                <w:sz w:val="18"/>
                <w:szCs w:val="20"/>
              </w:rPr>
              <w:t xml:space="preserve">Western Australia’s major iron ore </w:t>
            </w:r>
            <w:r>
              <w:rPr>
                <w:rFonts w:cs="Arial"/>
                <w:sz w:val="18"/>
                <w:szCs w:val="20"/>
              </w:rPr>
              <w:t xml:space="preserve">miners </w:t>
            </w:r>
            <w:r w:rsidRPr="00626885">
              <w:rPr>
                <w:rFonts w:cs="Arial"/>
                <w:sz w:val="18"/>
                <w:szCs w:val="20"/>
              </w:rPr>
              <w:t>Rio Tinto, BHP and Fortescue Metals Group</w:t>
            </w:r>
            <w:r>
              <w:rPr>
                <w:rFonts w:cs="Arial"/>
                <w:sz w:val="18"/>
                <w:szCs w:val="20"/>
              </w:rPr>
              <w:t xml:space="preserve"> (FMG)</w:t>
            </w:r>
            <w:r w:rsidRPr="00626885">
              <w:rPr>
                <w:rFonts w:cs="Arial"/>
                <w:sz w:val="18"/>
                <w:szCs w:val="20"/>
              </w:rPr>
              <w:t xml:space="preserve"> are the largest global iron ore producers behind Vale from Brazil.</w:t>
            </w:r>
          </w:p>
          <w:p w14:paraId="3E8170F0" w14:textId="2C08D0FF" w:rsidR="00351E6B" w:rsidRPr="00935DA3" w:rsidRDefault="00351E6B" w:rsidP="00351E6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935DA3">
              <w:rPr>
                <w:rFonts w:cs="Arial"/>
                <w:sz w:val="18"/>
                <w:szCs w:val="20"/>
              </w:rPr>
              <w:t>Rio Tinto (360Mtpa) and BHP (290Mtpa) are developing new mines by 202</w:t>
            </w:r>
            <w:r w:rsidR="00054558">
              <w:rPr>
                <w:rFonts w:cs="Arial"/>
                <w:sz w:val="18"/>
                <w:szCs w:val="20"/>
              </w:rPr>
              <w:t>2</w:t>
            </w:r>
            <w:r w:rsidRPr="00935DA3">
              <w:rPr>
                <w:rFonts w:cs="Arial"/>
                <w:sz w:val="18"/>
                <w:szCs w:val="20"/>
              </w:rPr>
              <w:t xml:space="preserve"> to utilise additional rail and port capacity developed over recent years.</w:t>
            </w:r>
          </w:p>
          <w:p w14:paraId="06D66FA6" w14:textId="40B4452C" w:rsidR="00351E6B" w:rsidRPr="00781C7A" w:rsidRDefault="00351E6B" w:rsidP="00351E6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781C7A">
              <w:rPr>
                <w:rFonts w:cs="Arial"/>
                <w:sz w:val="18"/>
                <w:szCs w:val="20"/>
              </w:rPr>
              <w:t>Rio Tinto’s ir</w:t>
            </w:r>
            <w:r w:rsidR="00054558" w:rsidRPr="00781C7A">
              <w:rPr>
                <w:rFonts w:cs="Arial"/>
                <w:sz w:val="18"/>
                <w:szCs w:val="20"/>
              </w:rPr>
              <w:t>on ore sales rose 3% to 332</w:t>
            </w:r>
            <w:r w:rsidRPr="00781C7A">
              <w:rPr>
                <w:rFonts w:cs="Arial"/>
                <w:sz w:val="18"/>
                <w:szCs w:val="20"/>
              </w:rPr>
              <w:t>Mt in 2019</w:t>
            </w:r>
            <w:r w:rsidR="00054558" w:rsidRPr="00781C7A">
              <w:rPr>
                <w:rFonts w:cs="Arial"/>
                <w:sz w:val="18"/>
                <w:szCs w:val="20"/>
              </w:rPr>
              <w:t>-20</w:t>
            </w:r>
            <w:r w:rsidRPr="00781C7A">
              <w:rPr>
                <w:rFonts w:cs="Arial"/>
                <w:sz w:val="18"/>
                <w:szCs w:val="20"/>
              </w:rPr>
              <w:t xml:space="preserve"> and its sales guidance for 2020 is 324-334Mt.</w:t>
            </w:r>
            <w:r w:rsidRPr="00781C7A">
              <w:rPr>
                <w:rFonts w:cs="Arial"/>
                <w:sz w:val="18"/>
                <w:szCs w:val="20"/>
                <w:vertAlign w:val="superscript"/>
              </w:rPr>
              <w:t>1</w:t>
            </w:r>
            <w:r w:rsidRPr="00781C7A">
              <w:rPr>
                <w:rFonts w:cs="Arial"/>
                <w:sz w:val="18"/>
                <w:szCs w:val="20"/>
              </w:rPr>
              <w:t xml:space="preserve"> </w:t>
            </w:r>
          </w:p>
          <w:p w14:paraId="6B85D937" w14:textId="71A05386" w:rsidR="00351E6B" w:rsidRPr="00781C7A" w:rsidRDefault="00054558" w:rsidP="00351E6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781C7A">
              <w:rPr>
                <w:rFonts w:cs="Arial"/>
                <w:sz w:val="18"/>
                <w:szCs w:val="20"/>
              </w:rPr>
              <w:t>BHP’s iron ore sales rose 5% to 28</w:t>
            </w:r>
            <w:r w:rsidR="00351E6B" w:rsidRPr="00781C7A">
              <w:rPr>
                <w:rFonts w:cs="Arial"/>
                <w:sz w:val="18"/>
                <w:szCs w:val="20"/>
              </w:rPr>
              <w:t>3Mt in 2019</w:t>
            </w:r>
            <w:r w:rsidRPr="00781C7A">
              <w:rPr>
                <w:rFonts w:cs="Arial"/>
                <w:sz w:val="18"/>
                <w:szCs w:val="20"/>
              </w:rPr>
              <w:t>-20</w:t>
            </w:r>
            <w:r w:rsidR="00351E6B" w:rsidRPr="00781C7A">
              <w:rPr>
                <w:rFonts w:cs="Arial"/>
                <w:sz w:val="18"/>
                <w:szCs w:val="20"/>
              </w:rPr>
              <w:t xml:space="preserve"> and i</w:t>
            </w:r>
            <w:r w:rsidRPr="00781C7A">
              <w:rPr>
                <w:rFonts w:cs="Arial"/>
                <w:sz w:val="18"/>
                <w:szCs w:val="20"/>
              </w:rPr>
              <w:t>ts production guidance for 20</w:t>
            </w:r>
            <w:r w:rsidR="00351E6B" w:rsidRPr="00781C7A">
              <w:rPr>
                <w:rFonts w:cs="Arial"/>
                <w:sz w:val="18"/>
                <w:szCs w:val="20"/>
              </w:rPr>
              <w:t>20</w:t>
            </w:r>
            <w:r w:rsidRPr="00781C7A">
              <w:rPr>
                <w:rFonts w:cs="Arial"/>
                <w:sz w:val="18"/>
                <w:szCs w:val="20"/>
              </w:rPr>
              <w:t>-21 is 276</w:t>
            </w:r>
            <w:r w:rsidR="00351E6B" w:rsidRPr="00781C7A">
              <w:rPr>
                <w:rFonts w:cs="Arial"/>
                <w:sz w:val="18"/>
                <w:szCs w:val="20"/>
              </w:rPr>
              <w:t>-286Mt.</w:t>
            </w:r>
            <w:r w:rsidR="00351E6B" w:rsidRPr="00781C7A">
              <w:rPr>
                <w:rFonts w:cs="Arial"/>
                <w:sz w:val="18"/>
                <w:szCs w:val="20"/>
                <w:vertAlign w:val="superscript"/>
              </w:rPr>
              <w:t>1</w:t>
            </w:r>
          </w:p>
          <w:p w14:paraId="452E27C7" w14:textId="0271CEC8" w:rsidR="00435532" w:rsidRPr="00781C7A" w:rsidRDefault="0019250B" w:rsidP="0019250B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781C7A">
              <w:rPr>
                <w:rFonts w:cs="Arial"/>
                <w:sz w:val="18"/>
                <w:szCs w:val="20"/>
              </w:rPr>
              <w:t>FMG’s iron ore sales rose 6% to 178</w:t>
            </w:r>
            <w:r w:rsidR="00351E6B" w:rsidRPr="00781C7A">
              <w:rPr>
                <w:rFonts w:cs="Arial"/>
                <w:sz w:val="18"/>
                <w:szCs w:val="20"/>
              </w:rPr>
              <w:t>Mt in 2019</w:t>
            </w:r>
            <w:r w:rsidRPr="00781C7A">
              <w:rPr>
                <w:rFonts w:cs="Arial"/>
                <w:sz w:val="18"/>
                <w:szCs w:val="20"/>
              </w:rPr>
              <w:t>-20</w:t>
            </w:r>
            <w:r w:rsidR="00351E6B" w:rsidRPr="00781C7A">
              <w:rPr>
                <w:rFonts w:cs="Arial"/>
                <w:sz w:val="18"/>
                <w:szCs w:val="20"/>
              </w:rPr>
              <w:t xml:space="preserve"> and its sales gui</w:t>
            </w:r>
            <w:r w:rsidRPr="00781C7A">
              <w:rPr>
                <w:rFonts w:cs="Arial"/>
                <w:sz w:val="18"/>
                <w:szCs w:val="20"/>
              </w:rPr>
              <w:t>dance for 20</w:t>
            </w:r>
            <w:r w:rsidR="00351E6B" w:rsidRPr="00781C7A">
              <w:rPr>
                <w:rFonts w:cs="Arial"/>
                <w:sz w:val="18"/>
                <w:szCs w:val="20"/>
              </w:rPr>
              <w:t>20</w:t>
            </w:r>
            <w:r w:rsidRPr="00781C7A">
              <w:rPr>
                <w:rFonts w:cs="Arial"/>
                <w:sz w:val="18"/>
                <w:szCs w:val="20"/>
              </w:rPr>
              <w:noBreakHyphen/>
              <w:t>21</w:t>
            </w:r>
            <w:r w:rsidR="00351E6B" w:rsidRPr="00781C7A">
              <w:rPr>
                <w:rFonts w:cs="Arial"/>
                <w:sz w:val="18"/>
                <w:szCs w:val="20"/>
              </w:rPr>
              <w:t xml:space="preserve"> is 1</w:t>
            </w:r>
            <w:r w:rsidR="003B06FE" w:rsidRPr="00781C7A">
              <w:rPr>
                <w:rFonts w:cs="Arial"/>
                <w:sz w:val="18"/>
                <w:szCs w:val="20"/>
              </w:rPr>
              <w:t>75</w:t>
            </w:r>
            <w:r w:rsidRPr="00781C7A">
              <w:rPr>
                <w:rFonts w:cs="Arial"/>
                <w:sz w:val="18"/>
                <w:szCs w:val="20"/>
              </w:rPr>
              <w:t>-180</w:t>
            </w:r>
            <w:r w:rsidR="00351E6B" w:rsidRPr="00781C7A">
              <w:rPr>
                <w:rFonts w:cs="Arial"/>
                <w:sz w:val="18"/>
                <w:szCs w:val="20"/>
              </w:rPr>
              <w:t>Mt.</w:t>
            </w:r>
            <w:r w:rsidR="00351E6B" w:rsidRPr="00781C7A">
              <w:rPr>
                <w:rFonts w:cs="Arial"/>
                <w:sz w:val="18"/>
                <w:szCs w:val="20"/>
                <w:vertAlign w:val="superscript"/>
              </w:rPr>
              <w:t>1</w:t>
            </w:r>
          </w:p>
        </w:tc>
      </w:tr>
      <w:tr w:rsidR="00862788" w:rsidRPr="00E84F58" w14:paraId="3705D056" w14:textId="77777777" w:rsidTr="00101506">
        <w:tc>
          <w:tcPr>
            <w:tcW w:w="6661" w:type="dxa"/>
            <w:shd w:val="clear" w:color="auto" w:fill="auto"/>
          </w:tcPr>
          <w:p w14:paraId="4ED9A5BA" w14:textId="7A76349A" w:rsidR="00862788" w:rsidRPr="00E84F58" w:rsidRDefault="00944F7E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7E992E01">
                <v:shape id="_x0000_i1032" type="#_x0000_t75" style="width:298pt;height:176pt;mso-left-percent:-10001;mso-top-percent:-10001;mso-position-horizontal:absolute;mso-position-horizontal-relative:char;mso-position-vertical:absolute;mso-position-vertical-relative:line;mso-left-percent:-10001;mso-top-percent:-10001">
                  <v:imagedata r:id="rId19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0EB7AA1D" w14:textId="77777777" w:rsidR="00862788" w:rsidRPr="00E84F58" w:rsidRDefault="00862788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862788" w:rsidRPr="00E84F58" w14:paraId="48F34FF2" w14:textId="77777777" w:rsidTr="00101506">
        <w:tc>
          <w:tcPr>
            <w:tcW w:w="6661" w:type="dxa"/>
            <w:shd w:val="clear" w:color="auto" w:fill="auto"/>
          </w:tcPr>
          <w:p w14:paraId="6B63E732" w14:textId="77777777" w:rsidR="001430F0" w:rsidRDefault="001430F0" w:rsidP="00062B27">
            <w:pPr>
              <w:rPr>
                <w:rFonts w:cs="Arial"/>
                <w:sz w:val="10"/>
                <w:szCs w:val="20"/>
              </w:rPr>
            </w:pPr>
            <w:r w:rsidRPr="00AD6E92">
              <w:rPr>
                <w:rFonts w:cs="Arial"/>
                <w:sz w:val="10"/>
                <w:szCs w:val="20"/>
                <w:vertAlign w:val="superscript"/>
              </w:rPr>
              <w:t>1</w:t>
            </w:r>
            <w:r>
              <w:rPr>
                <w:rFonts w:cs="Arial"/>
                <w:sz w:val="10"/>
                <w:szCs w:val="20"/>
              </w:rPr>
              <w:t xml:space="preserve"> Western Australian operations. </w:t>
            </w:r>
            <w:r w:rsidRPr="007563BE">
              <w:rPr>
                <w:rFonts w:cs="Arial"/>
                <w:sz w:val="10"/>
                <w:szCs w:val="20"/>
                <w:vertAlign w:val="superscript"/>
              </w:rPr>
              <w:t>2</w:t>
            </w:r>
            <w:r>
              <w:rPr>
                <w:rFonts w:cs="Arial"/>
                <w:sz w:val="10"/>
                <w:szCs w:val="20"/>
              </w:rPr>
              <w:t xml:space="preserve"> Wet tonnes. </w:t>
            </w:r>
            <w:r>
              <w:rPr>
                <w:rFonts w:cs="Arial"/>
                <w:sz w:val="10"/>
                <w:szCs w:val="20"/>
                <w:vertAlign w:val="superscript"/>
              </w:rPr>
              <w:t>3</w:t>
            </w:r>
            <w:r>
              <w:rPr>
                <w:rFonts w:cs="Arial"/>
                <w:sz w:val="10"/>
                <w:szCs w:val="20"/>
              </w:rPr>
              <w:t xml:space="preserve"> Inclusive of third party tonnes.</w:t>
            </w:r>
          </w:p>
          <w:p w14:paraId="751636C0" w14:textId="72A94B64" w:rsidR="00862788" w:rsidRPr="00975420" w:rsidRDefault="001430F0" w:rsidP="00062B27">
            <w:pPr>
              <w:rPr>
                <w:rFonts w:cs="Arial"/>
                <w:sz w:val="10"/>
                <w:szCs w:val="20"/>
              </w:rPr>
            </w:pPr>
            <w:r>
              <w:rPr>
                <w:rFonts w:cs="Arial"/>
                <w:sz w:val="10"/>
                <w:szCs w:val="20"/>
              </w:rPr>
              <w:t>Source: Company production reports.</w:t>
            </w:r>
          </w:p>
        </w:tc>
        <w:tc>
          <w:tcPr>
            <w:tcW w:w="3969" w:type="dxa"/>
            <w:vMerge/>
            <w:shd w:val="clear" w:color="auto" w:fill="auto"/>
          </w:tcPr>
          <w:p w14:paraId="703F56D6" w14:textId="77777777" w:rsidR="00862788" w:rsidRPr="00E84F58" w:rsidRDefault="00862788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4EC8A9" w14:textId="77777777" w:rsidR="004916E9" w:rsidRPr="00975420" w:rsidRDefault="004916E9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862788" w:rsidRPr="00E84F58" w14:paraId="3EAF4179" w14:textId="77777777" w:rsidTr="0095701D">
        <w:tc>
          <w:tcPr>
            <w:tcW w:w="6661" w:type="dxa"/>
            <w:shd w:val="clear" w:color="auto" w:fill="C0504D"/>
          </w:tcPr>
          <w:p w14:paraId="1E74DBC1" w14:textId="20EB4E2C" w:rsidR="00862788" w:rsidRPr="00C90210" w:rsidRDefault="00862788" w:rsidP="00062B27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C90210">
              <w:rPr>
                <w:rFonts w:cs="Arial"/>
                <w:color w:val="FFFFFF"/>
                <w:sz w:val="20"/>
                <w:szCs w:val="20"/>
              </w:rPr>
              <w:t>Major iron ore export ports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6A00A3C" w14:textId="42EFC0C8" w:rsidR="003D4495" w:rsidRPr="00552D98" w:rsidRDefault="003D4495" w:rsidP="0095701D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552D98">
              <w:rPr>
                <w:rFonts w:cs="Arial"/>
                <w:sz w:val="18"/>
                <w:szCs w:val="20"/>
              </w:rPr>
              <w:t>Port Hedland is the world’s largest bulk export port, while Cape Lambert and Dampier are also major bulk export ports.</w:t>
            </w:r>
          </w:p>
          <w:p w14:paraId="02C394F9" w14:textId="1F20CB37" w:rsidR="00840034" w:rsidRPr="000D08B9" w:rsidRDefault="000827D1" w:rsidP="0095701D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0D08B9">
              <w:rPr>
                <w:rFonts w:cs="Arial"/>
                <w:sz w:val="18"/>
                <w:szCs w:val="20"/>
              </w:rPr>
              <w:t>Port Hedland (60</w:t>
            </w:r>
            <w:r w:rsidR="00FC1B23" w:rsidRPr="000D08B9">
              <w:rPr>
                <w:rFonts w:cs="Arial"/>
                <w:sz w:val="18"/>
                <w:szCs w:val="20"/>
              </w:rPr>
              <w:t>%) exported m</w:t>
            </w:r>
            <w:r w:rsidR="00840034" w:rsidRPr="000D08B9">
              <w:rPr>
                <w:rFonts w:cs="Arial"/>
                <w:sz w:val="18"/>
                <w:szCs w:val="20"/>
              </w:rPr>
              <w:t>ost of Western Australia’s iron ore in 20</w:t>
            </w:r>
            <w:r w:rsidR="001D561D" w:rsidRPr="000D08B9">
              <w:rPr>
                <w:rFonts w:cs="Arial"/>
                <w:sz w:val="18"/>
                <w:szCs w:val="20"/>
              </w:rPr>
              <w:t>19</w:t>
            </w:r>
            <w:r w:rsidRPr="000D08B9">
              <w:rPr>
                <w:rFonts w:cs="Arial"/>
                <w:sz w:val="18"/>
                <w:szCs w:val="20"/>
              </w:rPr>
              <w:t>-20</w:t>
            </w:r>
            <w:r w:rsidR="00840034" w:rsidRPr="000D08B9">
              <w:rPr>
                <w:rFonts w:cs="Arial"/>
                <w:sz w:val="18"/>
                <w:szCs w:val="20"/>
              </w:rPr>
              <w:t>, followed by Cape Lambert (2</w:t>
            </w:r>
            <w:r w:rsidRPr="000D08B9">
              <w:rPr>
                <w:rFonts w:cs="Arial"/>
                <w:sz w:val="18"/>
                <w:szCs w:val="20"/>
              </w:rPr>
              <w:t>1%), Dampier (15</w:t>
            </w:r>
            <w:r w:rsidR="00840034" w:rsidRPr="000D08B9">
              <w:rPr>
                <w:rFonts w:cs="Arial"/>
                <w:sz w:val="18"/>
                <w:szCs w:val="20"/>
              </w:rPr>
              <w:t xml:space="preserve">%) and </w:t>
            </w:r>
            <w:r w:rsidR="00B77299" w:rsidRPr="000D08B9">
              <w:rPr>
                <w:rFonts w:cs="Arial"/>
                <w:sz w:val="18"/>
                <w:szCs w:val="20"/>
              </w:rPr>
              <w:t>o</w:t>
            </w:r>
            <w:r w:rsidR="00840034" w:rsidRPr="000D08B9">
              <w:rPr>
                <w:rFonts w:cs="Arial"/>
                <w:sz w:val="18"/>
                <w:szCs w:val="20"/>
              </w:rPr>
              <w:t>ther ports (</w:t>
            </w:r>
            <w:r w:rsidR="00552D98" w:rsidRPr="000D08B9">
              <w:rPr>
                <w:rFonts w:cs="Arial"/>
                <w:sz w:val="18"/>
                <w:szCs w:val="20"/>
              </w:rPr>
              <w:t>5</w:t>
            </w:r>
            <w:r w:rsidR="00840034" w:rsidRPr="000D08B9">
              <w:rPr>
                <w:rFonts w:cs="Arial"/>
                <w:sz w:val="18"/>
                <w:szCs w:val="20"/>
              </w:rPr>
              <w:t>%).</w:t>
            </w:r>
          </w:p>
          <w:p w14:paraId="3A09D833" w14:textId="5B50A012" w:rsidR="00840034" w:rsidRPr="000D08B9" w:rsidRDefault="00191977" w:rsidP="0095701D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0D08B9">
              <w:rPr>
                <w:rFonts w:cs="Arial"/>
                <w:sz w:val="18"/>
                <w:szCs w:val="20"/>
              </w:rPr>
              <w:t xml:space="preserve">Port Hedland’s iron ore exports rose </w:t>
            </w:r>
            <w:r w:rsidR="000827D1" w:rsidRPr="000D08B9">
              <w:rPr>
                <w:rFonts w:cs="Arial"/>
                <w:sz w:val="18"/>
                <w:szCs w:val="20"/>
              </w:rPr>
              <w:t>5</w:t>
            </w:r>
            <w:r w:rsidR="00840034" w:rsidRPr="000D08B9">
              <w:rPr>
                <w:rFonts w:cs="Arial"/>
                <w:sz w:val="18"/>
                <w:szCs w:val="20"/>
              </w:rPr>
              <w:t xml:space="preserve">% to </w:t>
            </w:r>
            <w:r w:rsidR="000827D1" w:rsidRPr="000D08B9">
              <w:rPr>
                <w:rFonts w:cs="Arial"/>
                <w:sz w:val="18"/>
                <w:szCs w:val="20"/>
              </w:rPr>
              <w:t>507</w:t>
            </w:r>
            <w:r w:rsidR="00840034" w:rsidRPr="000D08B9">
              <w:rPr>
                <w:rFonts w:cs="Arial"/>
                <w:sz w:val="18"/>
                <w:szCs w:val="20"/>
              </w:rPr>
              <w:t>Mt</w:t>
            </w:r>
            <w:r w:rsidRPr="000D08B9">
              <w:rPr>
                <w:rFonts w:cs="Arial"/>
                <w:sz w:val="18"/>
                <w:szCs w:val="20"/>
              </w:rPr>
              <w:t xml:space="preserve"> in 20</w:t>
            </w:r>
            <w:r w:rsidR="001D561D" w:rsidRPr="000D08B9">
              <w:rPr>
                <w:rFonts w:cs="Arial"/>
                <w:sz w:val="18"/>
                <w:szCs w:val="20"/>
              </w:rPr>
              <w:t>19</w:t>
            </w:r>
            <w:r w:rsidR="000827D1" w:rsidRPr="000D08B9">
              <w:rPr>
                <w:rFonts w:cs="Arial"/>
                <w:sz w:val="18"/>
                <w:szCs w:val="20"/>
              </w:rPr>
              <w:t>-20</w:t>
            </w:r>
            <w:r w:rsidRPr="000D08B9">
              <w:rPr>
                <w:rFonts w:cs="Arial"/>
                <w:sz w:val="18"/>
                <w:szCs w:val="20"/>
              </w:rPr>
              <w:t xml:space="preserve">. </w:t>
            </w:r>
            <w:r w:rsidR="00840034" w:rsidRPr="000D08B9">
              <w:rPr>
                <w:rFonts w:cs="Arial"/>
                <w:sz w:val="18"/>
                <w:szCs w:val="20"/>
              </w:rPr>
              <w:t>Cape Lambert</w:t>
            </w:r>
            <w:r w:rsidRPr="000D08B9">
              <w:rPr>
                <w:rFonts w:cs="Arial"/>
                <w:sz w:val="18"/>
                <w:szCs w:val="20"/>
              </w:rPr>
              <w:t xml:space="preserve">’s iron ore exports </w:t>
            </w:r>
            <w:r w:rsidR="000827D1" w:rsidRPr="000D08B9">
              <w:rPr>
                <w:rFonts w:cs="Arial"/>
                <w:sz w:val="18"/>
                <w:szCs w:val="20"/>
              </w:rPr>
              <w:t>rose</w:t>
            </w:r>
            <w:r w:rsidR="001D561D" w:rsidRPr="000D08B9">
              <w:rPr>
                <w:rFonts w:cs="Arial"/>
                <w:sz w:val="18"/>
                <w:szCs w:val="20"/>
              </w:rPr>
              <w:t xml:space="preserve"> </w:t>
            </w:r>
            <w:r w:rsidR="00552D98" w:rsidRPr="000D08B9">
              <w:rPr>
                <w:rFonts w:cs="Arial"/>
                <w:sz w:val="18"/>
                <w:szCs w:val="20"/>
              </w:rPr>
              <w:t>6</w:t>
            </w:r>
            <w:r w:rsidR="00840034" w:rsidRPr="000D08B9">
              <w:rPr>
                <w:rFonts w:cs="Arial"/>
                <w:sz w:val="18"/>
                <w:szCs w:val="20"/>
              </w:rPr>
              <w:t>% to 1</w:t>
            </w:r>
            <w:r w:rsidR="000827D1" w:rsidRPr="000D08B9">
              <w:rPr>
                <w:rFonts w:cs="Arial"/>
                <w:sz w:val="18"/>
                <w:szCs w:val="20"/>
              </w:rPr>
              <w:t>76</w:t>
            </w:r>
            <w:r w:rsidR="00840034" w:rsidRPr="000D08B9">
              <w:rPr>
                <w:rFonts w:cs="Arial"/>
                <w:sz w:val="18"/>
                <w:szCs w:val="20"/>
              </w:rPr>
              <w:t>Mt</w:t>
            </w:r>
            <w:r w:rsidRPr="000D08B9">
              <w:rPr>
                <w:rFonts w:cs="Arial"/>
                <w:sz w:val="18"/>
                <w:szCs w:val="20"/>
              </w:rPr>
              <w:t xml:space="preserve"> in 20</w:t>
            </w:r>
            <w:r w:rsidR="001D561D" w:rsidRPr="000D08B9">
              <w:rPr>
                <w:rFonts w:cs="Arial"/>
                <w:sz w:val="18"/>
                <w:szCs w:val="20"/>
              </w:rPr>
              <w:t>19</w:t>
            </w:r>
            <w:r w:rsidR="000827D1" w:rsidRPr="000D08B9">
              <w:rPr>
                <w:rFonts w:cs="Arial"/>
                <w:sz w:val="18"/>
                <w:szCs w:val="20"/>
              </w:rPr>
              <w:t>-20</w:t>
            </w:r>
            <w:r w:rsidRPr="000D08B9">
              <w:rPr>
                <w:rFonts w:cs="Arial"/>
                <w:sz w:val="18"/>
                <w:szCs w:val="20"/>
              </w:rPr>
              <w:t xml:space="preserve">. </w:t>
            </w:r>
            <w:r w:rsidR="00840034" w:rsidRPr="000D08B9">
              <w:rPr>
                <w:rFonts w:cs="Arial"/>
                <w:sz w:val="18"/>
                <w:szCs w:val="20"/>
              </w:rPr>
              <w:t>Dampier</w:t>
            </w:r>
            <w:r w:rsidRPr="000D08B9">
              <w:rPr>
                <w:rFonts w:cs="Arial"/>
                <w:sz w:val="18"/>
                <w:szCs w:val="20"/>
              </w:rPr>
              <w:t xml:space="preserve">’s iron ore exports </w:t>
            </w:r>
            <w:r w:rsidR="001D561D" w:rsidRPr="000D08B9">
              <w:rPr>
                <w:rFonts w:cs="Arial"/>
                <w:sz w:val="18"/>
                <w:szCs w:val="20"/>
              </w:rPr>
              <w:t xml:space="preserve">fell </w:t>
            </w:r>
            <w:r w:rsidR="000827D1" w:rsidRPr="000D08B9">
              <w:rPr>
                <w:rFonts w:cs="Arial"/>
                <w:sz w:val="18"/>
                <w:szCs w:val="20"/>
              </w:rPr>
              <w:t>4</w:t>
            </w:r>
            <w:r w:rsidR="00840034" w:rsidRPr="000D08B9">
              <w:rPr>
                <w:rFonts w:cs="Arial"/>
                <w:sz w:val="18"/>
                <w:szCs w:val="20"/>
              </w:rPr>
              <w:t>% to 1</w:t>
            </w:r>
            <w:r w:rsidR="000827D1" w:rsidRPr="000D08B9">
              <w:rPr>
                <w:rFonts w:cs="Arial"/>
                <w:sz w:val="18"/>
                <w:szCs w:val="20"/>
              </w:rPr>
              <w:t>26</w:t>
            </w:r>
            <w:r w:rsidR="00840034" w:rsidRPr="000D08B9">
              <w:rPr>
                <w:rFonts w:cs="Arial"/>
                <w:sz w:val="18"/>
                <w:szCs w:val="20"/>
              </w:rPr>
              <w:t>Mt</w:t>
            </w:r>
            <w:r w:rsidRPr="000D08B9">
              <w:rPr>
                <w:rFonts w:cs="Arial"/>
                <w:sz w:val="18"/>
                <w:szCs w:val="20"/>
              </w:rPr>
              <w:t xml:space="preserve"> in 20</w:t>
            </w:r>
            <w:r w:rsidR="001D561D" w:rsidRPr="000D08B9">
              <w:rPr>
                <w:rFonts w:cs="Arial"/>
                <w:sz w:val="18"/>
                <w:szCs w:val="20"/>
              </w:rPr>
              <w:t>19</w:t>
            </w:r>
            <w:r w:rsidR="000827D1" w:rsidRPr="000D08B9">
              <w:rPr>
                <w:rFonts w:cs="Arial"/>
                <w:sz w:val="18"/>
                <w:szCs w:val="20"/>
              </w:rPr>
              <w:t>-20</w:t>
            </w:r>
            <w:r w:rsidR="00840034" w:rsidRPr="000D08B9">
              <w:rPr>
                <w:rFonts w:cs="Arial"/>
                <w:sz w:val="18"/>
                <w:szCs w:val="20"/>
              </w:rPr>
              <w:t>.</w:t>
            </w:r>
          </w:p>
          <w:p w14:paraId="041F4539" w14:textId="0D74CA62" w:rsidR="00862788" w:rsidRPr="007A53AA" w:rsidRDefault="00381639" w:rsidP="00B61FF6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7A53AA">
              <w:rPr>
                <w:rFonts w:cs="Arial"/>
                <w:sz w:val="18"/>
                <w:szCs w:val="20"/>
              </w:rPr>
              <w:t>Rio Tinto expan</w:t>
            </w:r>
            <w:r w:rsidR="004B3127" w:rsidRPr="007A53AA">
              <w:rPr>
                <w:rFonts w:cs="Arial"/>
                <w:sz w:val="18"/>
                <w:szCs w:val="20"/>
              </w:rPr>
              <w:t xml:space="preserve">ded </w:t>
            </w:r>
            <w:r w:rsidRPr="007A53AA">
              <w:rPr>
                <w:rFonts w:cs="Arial"/>
                <w:sz w:val="18"/>
                <w:szCs w:val="20"/>
              </w:rPr>
              <w:t>Cape Lambert and Dampi</w:t>
            </w:r>
            <w:r w:rsidR="00D57919" w:rsidRPr="007A53AA">
              <w:rPr>
                <w:rFonts w:cs="Arial"/>
                <w:sz w:val="18"/>
                <w:szCs w:val="20"/>
              </w:rPr>
              <w:t xml:space="preserve">er in 2015, raising </w:t>
            </w:r>
            <w:r w:rsidR="00F974EB" w:rsidRPr="007A53AA">
              <w:rPr>
                <w:rFonts w:cs="Arial"/>
                <w:sz w:val="18"/>
                <w:szCs w:val="20"/>
              </w:rPr>
              <w:t xml:space="preserve">annual </w:t>
            </w:r>
            <w:r w:rsidRPr="007A53AA">
              <w:rPr>
                <w:rFonts w:cs="Arial"/>
                <w:sz w:val="18"/>
                <w:szCs w:val="20"/>
              </w:rPr>
              <w:t xml:space="preserve">capacity to 210Mt and 150Mt respectively. </w:t>
            </w:r>
            <w:r w:rsidR="00F974EB" w:rsidRPr="007A53AA">
              <w:rPr>
                <w:rFonts w:cs="Arial"/>
                <w:sz w:val="18"/>
                <w:szCs w:val="20"/>
              </w:rPr>
              <w:t>Annual s</w:t>
            </w:r>
            <w:r w:rsidRPr="007A53AA">
              <w:rPr>
                <w:rFonts w:cs="Arial"/>
                <w:sz w:val="18"/>
                <w:szCs w:val="20"/>
              </w:rPr>
              <w:t xml:space="preserve">hipping </w:t>
            </w:r>
            <w:r w:rsidR="00BB14A2" w:rsidRPr="007A53AA">
              <w:rPr>
                <w:rFonts w:cs="Arial"/>
                <w:sz w:val="18"/>
                <w:szCs w:val="20"/>
              </w:rPr>
              <w:t>capacity in</w:t>
            </w:r>
            <w:r w:rsidRPr="007A53AA">
              <w:rPr>
                <w:rFonts w:cs="Arial"/>
                <w:sz w:val="18"/>
                <w:szCs w:val="20"/>
              </w:rPr>
              <w:t xml:space="preserve"> </w:t>
            </w:r>
            <w:r w:rsidR="00BB14A2" w:rsidRPr="007A53AA">
              <w:rPr>
                <w:rFonts w:cs="Arial"/>
                <w:sz w:val="18"/>
                <w:szCs w:val="20"/>
              </w:rPr>
              <w:t>Port</w:t>
            </w:r>
            <w:r w:rsidRPr="007A53AA">
              <w:rPr>
                <w:rFonts w:cs="Arial"/>
                <w:sz w:val="18"/>
                <w:szCs w:val="20"/>
              </w:rPr>
              <w:t xml:space="preserve"> Hedland increase</w:t>
            </w:r>
            <w:r w:rsidR="00B61FF6" w:rsidRPr="007A53AA">
              <w:rPr>
                <w:rFonts w:cs="Arial"/>
                <w:sz w:val="18"/>
                <w:szCs w:val="20"/>
              </w:rPr>
              <w:t>d to 617</w:t>
            </w:r>
            <w:r w:rsidRPr="007A53AA">
              <w:rPr>
                <w:rFonts w:cs="Arial"/>
                <w:sz w:val="18"/>
                <w:szCs w:val="20"/>
              </w:rPr>
              <w:t>Mt</w:t>
            </w:r>
            <w:r w:rsidR="00B61FF6" w:rsidRPr="007A53AA">
              <w:rPr>
                <w:rFonts w:cs="Arial"/>
                <w:sz w:val="18"/>
                <w:szCs w:val="20"/>
              </w:rPr>
              <w:t xml:space="preserve"> in 2019 due to investment in port dredging, marine technology and other port efficiencies</w:t>
            </w:r>
            <w:r w:rsidRPr="007A53AA">
              <w:rPr>
                <w:rFonts w:cs="Arial"/>
                <w:sz w:val="18"/>
                <w:szCs w:val="20"/>
              </w:rPr>
              <w:t>.</w:t>
            </w:r>
          </w:p>
        </w:tc>
      </w:tr>
      <w:tr w:rsidR="00862788" w:rsidRPr="00E84F58" w14:paraId="21A62A6A" w14:textId="77777777" w:rsidTr="00101506">
        <w:tc>
          <w:tcPr>
            <w:tcW w:w="6661" w:type="dxa"/>
            <w:shd w:val="clear" w:color="auto" w:fill="auto"/>
          </w:tcPr>
          <w:p w14:paraId="646F8769" w14:textId="6BBC37B4" w:rsidR="00862788" w:rsidRPr="00E84F58" w:rsidRDefault="00944F7E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4D615D10">
                <v:shape id="_x0000_i1033" type="#_x0000_t75" style="width:271pt;height:168.65pt;mso-left-percent:-10001;mso-top-percent:-10001;mso-position-horizontal:absolute;mso-position-horizontal-relative:char;mso-position-vertical:absolute;mso-position-vertical-relative:line;mso-left-percent:-10001;mso-top-percent:-10001">
                  <v:imagedata r:id="rId20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25AAB9C9" w14:textId="77777777" w:rsidR="00862788" w:rsidRPr="00E84F58" w:rsidRDefault="00862788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187C54" w:rsidRPr="00E84F58" w14:paraId="56DD97A5" w14:textId="77777777" w:rsidTr="00101506">
        <w:tc>
          <w:tcPr>
            <w:tcW w:w="6661" w:type="dxa"/>
            <w:shd w:val="clear" w:color="auto" w:fill="auto"/>
          </w:tcPr>
          <w:p w14:paraId="7EB5E88A" w14:textId="6F13ECFD" w:rsidR="00187C54" w:rsidRPr="00975420" w:rsidRDefault="00187C54" w:rsidP="00062B27">
            <w:pPr>
              <w:rPr>
                <w:rFonts w:cs="Arial"/>
                <w:sz w:val="10"/>
                <w:szCs w:val="20"/>
              </w:rPr>
            </w:pPr>
            <w:r>
              <w:rPr>
                <w:rFonts w:cs="Arial"/>
                <w:sz w:val="10"/>
                <w:szCs w:val="20"/>
              </w:rPr>
              <w:t>Source: ABS 5368.0 International Trade in Goods and Services.</w:t>
            </w:r>
          </w:p>
        </w:tc>
        <w:tc>
          <w:tcPr>
            <w:tcW w:w="3969" w:type="dxa"/>
            <w:vMerge/>
            <w:shd w:val="clear" w:color="auto" w:fill="auto"/>
          </w:tcPr>
          <w:p w14:paraId="23A6F3A4" w14:textId="77777777" w:rsidR="00187C54" w:rsidRPr="00E84F58" w:rsidRDefault="00187C54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78FA2CD" w14:textId="62193DD4" w:rsidR="004916E9" w:rsidRDefault="004916E9" w:rsidP="00062B27">
      <w:pPr>
        <w:rPr>
          <w:rFonts w:cs="Arial"/>
          <w:sz w:val="20"/>
          <w:szCs w:val="20"/>
        </w:rPr>
      </w:pPr>
    </w:p>
    <w:p w14:paraId="624A91A0" w14:textId="77777777" w:rsidR="001D4140" w:rsidRPr="00E903EA" w:rsidRDefault="001D4140" w:rsidP="00062B27">
      <w:pPr>
        <w:rPr>
          <w:rFonts w:cs="Arial"/>
          <w:sz w:val="4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10632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4916E9" w:rsidRPr="00E84F58" w14:paraId="2E814AF1" w14:textId="77777777" w:rsidTr="0010150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1138C7" w14:textId="2153B44F" w:rsidR="004916E9" w:rsidRPr="00E84F58" w:rsidRDefault="001F26D3" w:rsidP="00062B27">
            <w:pPr>
              <w:jc w:val="center"/>
              <w:rPr>
                <w:rFonts w:cs="Arial"/>
                <w:sz w:val="20"/>
                <w:szCs w:val="20"/>
              </w:rPr>
            </w:pPr>
            <w:r w:rsidRPr="00C90210">
              <w:rPr>
                <w:rFonts w:cs="Arial"/>
                <w:b/>
                <w:color w:val="C0504D"/>
                <w:sz w:val="20"/>
                <w:szCs w:val="20"/>
              </w:rPr>
              <w:t>CONTRIBUTION TO WESTERN AUSTRALIA</w:t>
            </w:r>
            <w:r w:rsidR="0047053A">
              <w:rPr>
                <w:rFonts w:cs="Arial"/>
                <w:b/>
                <w:color w:val="C0504D"/>
                <w:sz w:val="20"/>
                <w:szCs w:val="20"/>
              </w:rPr>
              <w:t>’S</w:t>
            </w:r>
            <w:r w:rsidRPr="00C90210">
              <w:rPr>
                <w:rFonts w:cs="Arial"/>
                <w:b/>
                <w:color w:val="C0504D"/>
                <w:sz w:val="20"/>
                <w:szCs w:val="20"/>
              </w:rPr>
              <w:t xml:space="preserve"> ECONOMY</w:t>
            </w:r>
          </w:p>
        </w:tc>
      </w:tr>
    </w:tbl>
    <w:p w14:paraId="3124CD7A" w14:textId="6D97BCD1" w:rsidR="00F603E4" w:rsidRPr="00130D72" w:rsidRDefault="00F603E4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130D72" w:rsidRPr="00E84F58" w14:paraId="66C1CA76" w14:textId="77777777" w:rsidTr="0095701D">
        <w:tc>
          <w:tcPr>
            <w:tcW w:w="6661" w:type="dxa"/>
            <w:shd w:val="clear" w:color="auto" w:fill="C0504D"/>
          </w:tcPr>
          <w:p w14:paraId="6BEB978F" w14:textId="3D845EBA" w:rsidR="00130D72" w:rsidRPr="006C54AE" w:rsidRDefault="00130D72" w:rsidP="00062B27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6C54AE">
              <w:rPr>
                <w:rFonts w:cs="Arial"/>
                <w:color w:val="FFFFFF"/>
                <w:sz w:val="20"/>
                <w:szCs w:val="20"/>
              </w:rPr>
              <w:t>Value of iron ore sales</w:t>
            </w:r>
            <w:r w:rsidR="00692AEF" w:rsidRPr="006C54AE">
              <w:rPr>
                <w:rFonts w:cs="Arial"/>
                <w:color w:val="FFFFFF"/>
                <w:sz w:val="20"/>
                <w:szCs w:val="20"/>
              </w:rPr>
              <w:t xml:space="preserve"> and royalties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AD85BB5" w14:textId="77777777" w:rsidR="00774767" w:rsidRPr="00F324D6" w:rsidRDefault="00774767" w:rsidP="00774767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F324D6">
              <w:rPr>
                <w:rFonts w:cs="Arial"/>
                <w:sz w:val="18"/>
                <w:szCs w:val="20"/>
              </w:rPr>
              <w:t>The iron ore industry is a large part of the Western Australian economy, accounting for 20% of the State’s gross state product and 56% of its mining industry value added in 2018-19.</w:t>
            </w:r>
          </w:p>
          <w:p w14:paraId="194306B9" w14:textId="041818E9" w:rsidR="00774767" w:rsidRPr="00125CEC" w:rsidRDefault="00712165" w:rsidP="00774767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125CEC">
              <w:rPr>
                <w:rFonts w:cs="Arial"/>
                <w:sz w:val="18"/>
                <w:szCs w:val="20"/>
              </w:rPr>
              <w:t>Iron ore accounted for 55</w:t>
            </w:r>
            <w:r w:rsidR="00774767" w:rsidRPr="00125CEC">
              <w:rPr>
                <w:rFonts w:cs="Arial"/>
                <w:sz w:val="18"/>
                <w:szCs w:val="20"/>
              </w:rPr>
              <w:t>% of the value of Western Austra</w:t>
            </w:r>
            <w:r w:rsidRPr="00125CEC">
              <w:rPr>
                <w:rFonts w:cs="Arial"/>
                <w:sz w:val="18"/>
                <w:szCs w:val="20"/>
              </w:rPr>
              <w:t>lia’s merchandise exports and 77</w:t>
            </w:r>
            <w:r w:rsidR="00774767" w:rsidRPr="00125CEC">
              <w:rPr>
                <w:rFonts w:cs="Arial"/>
                <w:sz w:val="18"/>
                <w:szCs w:val="20"/>
              </w:rPr>
              <w:t>% of Western Australia’s minerals sales in 2019</w:t>
            </w:r>
            <w:r w:rsidRPr="00125CEC">
              <w:rPr>
                <w:rFonts w:cs="Arial"/>
                <w:sz w:val="18"/>
                <w:szCs w:val="20"/>
              </w:rPr>
              <w:t>-20</w:t>
            </w:r>
            <w:r w:rsidR="00774767" w:rsidRPr="00125CEC">
              <w:rPr>
                <w:rFonts w:cs="Arial"/>
                <w:sz w:val="18"/>
                <w:szCs w:val="20"/>
              </w:rPr>
              <w:t>.</w:t>
            </w:r>
          </w:p>
          <w:p w14:paraId="3B65A420" w14:textId="4F01CB9A" w:rsidR="00774767" w:rsidRPr="00125CEC" w:rsidRDefault="00774767" w:rsidP="00774767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125CEC">
              <w:rPr>
                <w:rFonts w:cs="Arial"/>
                <w:sz w:val="18"/>
                <w:szCs w:val="20"/>
              </w:rPr>
              <w:t>The value of Western Au</w:t>
            </w:r>
            <w:r w:rsidR="00292A9C" w:rsidRPr="00125CEC">
              <w:rPr>
                <w:rFonts w:cs="Arial"/>
                <w:sz w:val="18"/>
                <w:szCs w:val="20"/>
              </w:rPr>
              <w:t>stralia’s iron ore sales rose 26</w:t>
            </w:r>
            <w:r w:rsidRPr="00125CEC">
              <w:rPr>
                <w:rFonts w:cs="Arial"/>
                <w:sz w:val="18"/>
                <w:szCs w:val="20"/>
              </w:rPr>
              <w:t>% to $</w:t>
            </w:r>
            <w:r w:rsidR="00292A9C" w:rsidRPr="00125CEC">
              <w:rPr>
                <w:rFonts w:cs="Arial"/>
                <w:sz w:val="18"/>
                <w:szCs w:val="20"/>
              </w:rPr>
              <w:t>103.4</w:t>
            </w:r>
            <w:r w:rsidRPr="00125CEC">
              <w:rPr>
                <w:rFonts w:cs="Arial"/>
                <w:sz w:val="18"/>
                <w:szCs w:val="20"/>
              </w:rPr>
              <w:t xml:space="preserve"> billion in 2019</w:t>
            </w:r>
            <w:r w:rsidR="00292A9C" w:rsidRPr="00125CEC">
              <w:rPr>
                <w:rFonts w:cs="Arial"/>
                <w:sz w:val="18"/>
                <w:szCs w:val="20"/>
              </w:rPr>
              <w:noBreakHyphen/>
              <w:t>20</w:t>
            </w:r>
            <w:r w:rsidRPr="00125CEC">
              <w:rPr>
                <w:rFonts w:cs="Arial"/>
                <w:sz w:val="18"/>
                <w:szCs w:val="20"/>
              </w:rPr>
              <w:t>, above annual growth</w:t>
            </w:r>
            <w:r w:rsidRPr="00125CEC">
              <w:rPr>
                <w:rFonts w:cs="Arial"/>
                <w:sz w:val="18"/>
                <w:szCs w:val="20"/>
                <w:vertAlign w:val="superscript"/>
              </w:rPr>
              <w:t>2</w:t>
            </w:r>
            <w:r w:rsidR="00292A9C" w:rsidRPr="00125CEC">
              <w:rPr>
                <w:rFonts w:cs="Arial"/>
                <w:sz w:val="18"/>
                <w:szCs w:val="20"/>
              </w:rPr>
              <w:t xml:space="preserve"> of 11</w:t>
            </w:r>
            <w:r w:rsidRPr="00125CEC">
              <w:rPr>
                <w:rFonts w:cs="Arial"/>
                <w:sz w:val="18"/>
                <w:szCs w:val="20"/>
              </w:rPr>
              <w:t xml:space="preserve">% over the past </w:t>
            </w:r>
            <w:r w:rsidR="00292A9C" w:rsidRPr="00125CEC">
              <w:rPr>
                <w:rFonts w:cs="Arial"/>
                <w:sz w:val="18"/>
                <w:szCs w:val="20"/>
              </w:rPr>
              <w:t>10</w:t>
            </w:r>
            <w:r w:rsidRPr="00125CEC">
              <w:rPr>
                <w:rFonts w:cs="Arial"/>
                <w:sz w:val="18"/>
                <w:szCs w:val="20"/>
              </w:rPr>
              <w:t xml:space="preserve"> years.</w:t>
            </w:r>
          </w:p>
          <w:p w14:paraId="45562CF3" w14:textId="253EF7CC" w:rsidR="00774767" w:rsidRPr="000A487B" w:rsidRDefault="00292A9C" w:rsidP="00774767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0A487B">
              <w:rPr>
                <w:rFonts w:cs="Arial"/>
                <w:sz w:val="18"/>
                <w:szCs w:val="20"/>
              </w:rPr>
              <w:t>Iron ore accounted for 84</w:t>
            </w:r>
            <w:r w:rsidR="00774767" w:rsidRPr="000A487B">
              <w:rPr>
                <w:rFonts w:cs="Arial"/>
                <w:sz w:val="18"/>
                <w:szCs w:val="20"/>
              </w:rPr>
              <w:t>% of Western Australia’s royalties</w:t>
            </w:r>
            <w:r w:rsidR="00774767" w:rsidRPr="000A487B">
              <w:rPr>
                <w:rFonts w:cs="Arial"/>
                <w:sz w:val="18"/>
                <w:szCs w:val="20"/>
                <w:vertAlign w:val="superscript"/>
              </w:rPr>
              <w:t xml:space="preserve">1 </w:t>
            </w:r>
            <w:r w:rsidR="00A16B18" w:rsidRPr="000A487B">
              <w:rPr>
                <w:rFonts w:cs="Arial"/>
                <w:sz w:val="18"/>
                <w:szCs w:val="20"/>
              </w:rPr>
              <w:t>and 24</w:t>
            </w:r>
            <w:r w:rsidR="00774767" w:rsidRPr="000A487B">
              <w:rPr>
                <w:rFonts w:cs="Arial"/>
                <w:sz w:val="18"/>
                <w:szCs w:val="20"/>
              </w:rPr>
              <w:t xml:space="preserve">% of State </w:t>
            </w:r>
            <w:r w:rsidR="00A16B18" w:rsidRPr="000A487B">
              <w:rPr>
                <w:rFonts w:cs="Arial"/>
                <w:sz w:val="18"/>
                <w:szCs w:val="20"/>
              </w:rPr>
              <w:t xml:space="preserve">government </w:t>
            </w:r>
            <w:r w:rsidR="00FD7FE4" w:rsidRPr="000A487B">
              <w:rPr>
                <w:rFonts w:cs="Arial"/>
                <w:sz w:val="18"/>
                <w:szCs w:val="20"/>
              </w:rPr>
              <w:t xml:space="preserve">general </w:t>
            </w:r>
            <w:r w:rsidR="00A16B18" w:rsidRPr="000A487B">
              <w:rPr>
                <w:rFonts w:cs="Arial"/>
                <w:sz w:val="18"/>
                <w:szCs w:val="20"/>
              </w:rPr>
              <w:t>revenue in 2019-20</w:t>
            </w:r>
            <w:r w:rsidR="00774767" w:rsidRPr="000A487B">
              <w:rPr>
                <w:rFonts w:cs="Arial"/>
                <w:sz w:val="18"/>
                <w:szCs w:val="20"/>
              </w:rPr>
              <w:t>.</w:t>
            </w:r>
          </w:p>
          <w:p w14:paraId="48224BC6" w14:textId="18688918" w:rsidR="00C71823" w:rsidRPr="00125CEC" w:rsidRDefault="00292A9C" w:rsidP="00774767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125CEC">
              <w:rPr>
                <w:rFonts w:cs="Arial"/>
                <w:sz w:val="18"/>
                <w:szCs w:val="20"/>
              </w:rPr>
              <w:t>Iron ore royalties rose 60% to $7.8</w:t>
            </w:r>
            <w:r w:rsidR="00774767" w:rsidRPr="00125CEC">
              <w:rPr>
                <w:rFonts w:cs="Arial"/>
                <w:sz w:val="18"/>
                <w:szCs w:val="20"/>
              </w:rPr>
              <w:t> billion in 2019</w:t>
            </w:r>
            <w:r w:rsidRPr="00125CEC">
              <w:rPr>
                <w:rFonts w:cs="Arial"/>
                <w:sz w:val="18"/>
                <w:szCs w:val="20"/>
              </w:rPr>
              <w:t>-20</w:t>
            </w:r>
            <w:r w:rsidR="00774767" w:rsidRPr="00125CEC">
              <w:rPr>
                <w:rFonts w:cs="Arial"/>
                <w:sz w:val="18"/>
                <w:szCs w:val="20"/>
              </w:rPr>
              <w:t>.</w:t>
            </w:r>
          </w:p>
        </w:tc>
      </w:tr>
      <w:tr w:rsidR="00130D72" w:rsidRPr="00E84F58" w14:paraId="1EB6CADC" w14:textId="77777777" w:rsidTr="00101506">
        <w:tc>
          <w:tcPr>
            <w:tcW w:w="6661" w:type="dxa"/>
            <w:shd w:val="clear" w:color="auto" w:fill="auto"/>
          </w:tcPr>
          <w:p w14:paraId="33810169" w14:textId="35853A6F" w:rsidR="00130D72" w:rsidRPr="00E84F58" w:rsidRDefault="00944F7E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4D9B731A">
                <v:shape id="_x0000_i1034" type="#_x0000_t75" style="width:282.65pt;height:166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21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771FEC3D" w14:textId="77777777" w:rsidR="00130D72" w:rsidRPr="00E84F58" w:rsidRDefault="00130D72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130D72" w:rsidRPr="00E84F58" w14:paraId="65215B38" w14:textId="77777777" w:rsidTr="00101506">
        <w:tc>
          <w:tcPr>
            <w:tcW w:w="6661" w:type="dxa"/>
            <w:shd w:val="clear" w:color="auto" w:fill="auto"/>
          </w:tcPr>
          <w:p w14:paraId="7E29B4E5" w14:textId="76ACECAD" w:rsidR="00571E5D" w:rsidRDefault="00571E5D" w:rsidP="00062B27">
            <w:pPr>
              <w:rPr>
                <w:rFonts w:cs="Arial"/>
                <w:sz w:val="10"/>
                <w:szCs w:val="20"/>
              </w:rPr>
            </w:pPr>
            <w:r w:rsidRPr="00571E5D">
              <w:rPr>
                <w:rFonts w:cs="Arial"/>
                <w:sz w:val="10"/>
                <w:szCs w:val="20"/>
                <w:vertAlign w:val="superscript"/>
              </w:rPr>
              <w:t>1</w:t>
            </w:r>
            <w:r>
              <w:rPr>
                <w:rFonts w:cs="Arial"/>
                <w:sz w:val="10"/>
                <w:szCs w:val="20"/>
              </w:rPr>
              <w:t xml:space="preserve"> Includes North West Shelf Grants</w:t>
            </w:r>
            <w:r w:rsidR="00D17118">
              <w:rPr>
                <w:rFonts w:cs="Arial"/>
                <w:sz w:val="10"/>
                <w:szCs w:val="20"/>
              </w:rPr>
              <w:t xml:space="preserve">. </w:t>
            </w:r>
            <w:r w:rsidR="00D17118" w:rsidRPr="00D17118">
              <w:rPr>
                <w:rFonts w:cs="Arial"/>
                <w:sz w:val="10"/>
                <w:szCs w:val="20"/>
                <w:vertAlign w:val="superscript"/>
              </w:rPr>
              <w:t>2</w:t>
            </w:r>
            <w:r w:rsidR="00D17118">
              <w:rPr>
                <w:rFonts w:cs="Arial"/>
                <w:sz w:val="10"/>
                <w:szCs w:val="20"/>
              </w:rPr>
              <w:t xml:space="preserve"> Compound annual growth rate.</w:t>
            </w:r>
          </w:p>
          <w:p w14:paraId="65912692" w14:textId="65335AA7" w:rsidR="00130D72" w:rsidRPr="00130D72" w:rsidRDefault="003402EE" w:rsidP="00062B27">
            <w:pPr>
              <w:rPr>
                <w:rFonts w:cs="Arial"/>
                <w:sz w:val="10"/>
                <w:szCs w:val="20"/>
              </w:rPr>
            </w:pPr>
            <w:r>
              <w:rPr>
                <w:rFonts w:cs="Arial"/>
                <w:sz w:val="10"/>
                <w:szCs w:val="20"/>
              </w:rPr>
              <w:t>Source: Western Australian Department of Mines, Industry Regulation and Safety, Resource Data Files</w:t>
            </w:r>
            <w:r w:rsidR="00C12153">
              <w:rPr>
                <w:rFonts w:cs="Arial"/>
                <w:sz w:val="1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0C81A847" w14:textId="77777777" w:rsidR="00130D72" w:rsidRPr="00E84F58" w:rsidRDefault="00130D72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BB572B9" w14:textId="77777777" w:rsidR="00F603E4" w:rsidRPr="00130D72" w:rsidRDefault="00F603E4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130D72" w:rsidRPr="00E84F58" w14:paraId="3B1A6B1B" w14:textId="77777777" w:rsidTr="0095701D">
        <w:tc>
          <w:tcPr>
            <w:tcW w:w="6661" w:type="dxa"/>
            <w:shd w:val="clear" w:color="auto" w:fill="C0504D"/>
          </w:tcPr>
          <w:p w14:paraId="0AFEF4F5" w14:textId="0CFC0300" w:rsidR="00130D72" w:rsidRPr="006C54AE" w:rsidRDefault="001C7611" w:rsidP="00935A30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6C54AE">
              <w:rPr>
                <w:rFonts w:cs="Arial"/>
                <w:color w:val="FFFFFF"/>
                <w:sz w:val="20"/>
                <w:szCs w:val="20"/>
              </w:rPr>
              <w:t>Major</w:t>
            </w:r>
            <w:r w:rsidR="00692AEF" w:rsidRPr="006C54AE">
              <w:rPr>
                <w:rFonts w:cs="Arial"/>
                <w:color w:val="FFFFFF"/>
                <w:sz w:val="20"/>
                <w:szCs w:val="20"/>
              </w:rPr>
              <w:t xml:space="preserve"> </w:t>
            </w:r>
            <w:r w:rsidRPr="006C54AE">
              <w:rPr>
                <w:rFonts w:cs="Arial"/>
                <w:color w:val="FFFFFF"/>
                <w:sz w:val="20"/>
                <w:szCs w:val="20"/>
              </w:rPr>
              <w:t xml:space="preserve">iron ore </w:t>
            </w:r>
            <w:r w:rsidR="00F137E7" w:rsidRPr="006C54AE">
              <w:rPr>
                <w:rFonts w:cs="Arial"/>
                <w:color w:val="FFFFFF"/>
                <w:sz w:val="20"/>
                <w:szCs w:val="20"/>
              </w:rPr>
              <w:t>projects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4FD2E73" w14:textId="2B90F1D8" w:rsidR="00774767" w:rsidRPr="003B06FE" w:rsidRDefault="00774767" w:rsidP="00774767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3B06FE">
              <w:rPr>
                <w:rFonts w:cs="Arial"/>
                <w:sz w:val="18"/>
                <w:szCs w:val="20"/>
              </w:rPr>
              <w:t>Western Australia has over $1</w:t>
            </w:r>
            <w:r w:rsidR="00E36D69">
              <w:rPr>
                <w:rFonts w:cs="Arial"/>
                <w:sz w:val="18"/>
                <w:szCs w:val="20"/>
              </w:rPr>
              <w:t>7</w:t>
            </w:r>
            <w:r w:rsidRPr="003B06FE">
              <w:rPr>
                <w:rFonts w:cs="Arial"/>
                <w:sz w:val="18"/>
                <w:szCs w:val="20"/>
              </w:rPr>
              <w:t> billion of major iron ore projects under construction or committed.</w:t>
            </w:r>
          </w:p>
          <w:p w14:paraId="5FEBD8F4" w14:textId="4A797BE8" w:rsidR="00774767" w:rsidRPr="000A487B" w:rsidRDefault="00774767" w:rsidP="00774767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0A487B">
              <w:rPr>
                <w:rFonts w:cs="Arial"/>
                <w:sz w:val="18"/>
                <w:szCs w:val="20"/>
              </w:rPr>
              <w:t xml:space="preserve">Rio Tinto is developing </w:t>
            </w:r>
            <w:r w:rsidR="00225A57" w:rsidRPr="000A487B">
              <w:rPr>
                <w:rFonts w:cs="Arial"/>
                <w:sz w:val="18"/>
                <w:szCs w:val="20"/>
              </w:rPr>
              <w:t xml:space="preserve">Gudai-Darri (formerly </w:t>
            </w:r>
            <w:r w:rsidRPr="000A487B">
              <w:rPr>
                <w:rFonts w:cs="Arial"/>
                <w:sz w:val="18"/>
                <w:szCs w:val="20"/>
              </w:rPr>
              <w:t>Koodaideri</w:t>
            </w:r>
            <w:r w:rsidR="00225A57" w:rsidRPr="000A487B">
              <w:rPr>
                <w:rFonts w:cs="Arial"/>
                <w:sz w:val="18"/>
                <w:szCs w:val="20"/>
              </w:rPr>
              <w:t>)</w:t>
            </w:r>
            <w:r w:rsidRPr="000A487B">
              <w:rPr>
                <w:rFonts w:cs="Arial"/>
                <w:sz w:val="18"/>
                <w:szCs w:val="20"/>
              </w:rPr>
              <w:t xml:space="preserve"> by </w:t>
            </w:r>
            <w:r w:rsidR="0083697A" w:rsidRPr="000A487B">
              <w:rPr>
                <w:rFonts w:cs="Arial"/>
                <w:sz w:val="18"/>
                <w:szCs w:val="20"/>
              </w:rPr>
              <w:t>early 2022</w:t>
            </w:r>
            <w:r w:rsidRPr="000A487B">
              <w:rPr>
                <w:rFonts w:cs="Arial"/>
                <w:sz w:val="18"/>
                <w:szCs w:val="20"/>
              </w:rPr>
              <w:t>. Rio Tinto also has sustaining projects at its Robe River and Greater Tom Price operations.</w:t>
            </w:r>
          </w:p>
          <w:p w14:paraId="75EEE70C" w14:textId="77777777" w:rsidR="00774767" w:rsidRPr="003B06FE" w:rsidRDefault="00774767" w:rsidP="00774767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3B06FE">
              <w:rPr>
                <w:rFonts w:cs="Arial"/>
                <w:sz w:val="18"/>
                <w:szCs w:val="20"/>
              </w:rPr>
              <w:t>BHP is developing South Flank to replace Yandi mine production by mid-2021.</w:t>
            </w:r>
          </w:p>
          <w:p w14:paraId="720814FF" w14:textId="6922B277" w:rsidR="0043485B" w:rsidRPr="004C666A" w:rsidRDefault="00774767" w:rsidP="00774767">
            <w:pPr>
              <w:numPr>
                <w:ilvl w:val="0"/>
                <w:numId w:val="12"/>
              </w:numPr>
              <w:rPr>
                <w:rFonts w:cs="Arial"/>
                <w:sz w:val="18"/>
                <w:szCs w:val="20"/>
              </w:rPr>
            </w:pPr>
            <w:r w:rsidRPr="003B06FE">
              <w:rPr>
                <w:rFonts w:cs="Arial"/>
                <w:sz w:val="18"/>
                <w:szCs w:val="20"/>
              </w:rPr>
              <w:t>FMG is developing Eliwana to replace Firetail mine production by late 2020. FMG is also developing Iron Bridge (Magnetite) Stage 2 by mid-2022 and Queens Valley (Solomon Hub) by 2022.</w:t>
            </w:r>
          </w:p>
        </w:tc>
      </w:tr>
      <w:tr w:rsidR="00130D72" w:rsidRPr="00E84F58" w14:paraId="3A8B391C" w14:textId="77777777" w:rsidTr="00101506">
        <w:tc>
          <w:tcPr>
            <w:tcW w:w="6661" w:type="dxa"/>
            <w:shd w:val="clear" w:color="auto" w:fill="auto"/>
          </w:tcPr>
          <w:tbl>
            <w:tblPr>
              <w:tblW w:w="6432" w:type="dxa"/>
              <w:tblBorders>
                <w:top w:val="single" w:sz="8" w:space="0" w:color="C0504D"/>
                <w:bottom w:val="single" w:sz="8" w:space="0" w:color="C0504D"/>
              </w:tblBorders>
              <w:tblLook w:val="04A0" w:firstRow="1" w:lastRow="0" w:firstColumn="1" w:lastColumn="0" w:noHBand="0" w:noVBand="1"/>
            </w:tblPr>
            <w:tblGrid>
              <w:gridCol w:w="1033"/>
              <w:gridCol w:w="1985"/>
              <w:gridCol w:w="978"/>
              <w:gridCol w:w="723"/>
              <w:gridCol w:w="850"/>
              <w:gridCol w:w="863"/>
            </w:tblGrid>
            <w:tr w:rsidR="00B86016" w:rsidRPr="00E83012" w14:paraId="6FD13DD2" w14:textId="77777777" w:rsidTr="00B86016">
              <w:tc>
                <w:tcPr>
                  <w:tcW w:w="1033" w:type="dxa"/>
                  <w:tcBorders>
                    <w:top w:val="nil"/>
                    <w:bottom w:val="single" w:sz="8" w:space="0" w:color="C0504D"/>
                  </w:tcBorders>
                  <w:shd w:val="clear" w:color="auto" w:fill="auto"/>
                </w:tcPr>
                <w:p w14:paraId="602CB0BA" w14:textId="7B42B122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  <w:t>Operator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8" w:space="0" w:color="C0504D"/>
                  </w:tcBorders>
                  <w:shd w:val="clear" w:color="auto" w:fill="auto"/>
                </w:tcPr>
                <w:p w14:paraId="2D84BC25" w14:textId="313DE221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  <w:t>Mine/deposit</w:t>
                  </w:r>
                </w:p>
              </w:tc>
              <w:tc>
                <w:tcPr>
                  <w:tcW w:w="978" w:type="dxa"/>
                  <w:tcBorders>
                    <w:top w:val="nil"/>
                    <w:bottom w:val="single" w:sz="8" w:space="0" w:color="C0504D"/>
                  </w:tcBorders>
                  <w:shd w:val="clear" w:color="auto" w:fill="auto"/>
                </w:tcPr>
                <w:p w14:paraId="5832927C" w14:textId="0BD6EBF5" w:rsidR="00784FBD" w:rsidRPr="00B86016" w:rsidRDefault="00784FBD" w:rsidP="00B86016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  <w:t>Capex ($m)</w:t>
                  </w: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1</w:t>
                  </w:r>
                </w:p>
              </w:tc>
              <w:tc>
                <w:tcPr>
                  <w:tcW w:w="723" w:type="dxa"/>
                  <w:tcBorders>
                    <w:top w:val="nil"/>
                    <w:bottom w:val="single" w:sz="8" w:space="0" w:color="C0504D"/>
                  </w:tcBorders>
                  <w:shd w:val="clear" w:color="auto" w:fill="auto"/>
                </w:tcPr>
                <w:p w14:paraId="272A7DFC" w14:textId="211D020D" w:rsidR="00784FBD" w:rsidRPr="00B86016" w:rsidRDefault="00784FBD" w:rsidP="00B86016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  <w:t>Mtpa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8" w:space="0" w:color="C0504D"/>
                  </w:tcBorders>
                  <w:shd w:val="clear" w:color="auto" w:fill="auto"/>
                </w:tcPr>
                <w:p w14:paraId="242FE558" w14:textId="0819CA5D" w:rsidR="00784FBD" w:rsidRPr="00B86016" w:rsidRDefault="00784FBD" w:rsidP="00B86016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  <w:t>Fe (%)</w:t>
                  </w: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2</w:t>
                  </w:r>
                </w:p>
              </w:tc>
              <w:tc>
                <w:tcPr>
                  <w:tcW w:w="863" w:type="dxa"/>
                  <w:tcBorders>
                    <w:top w:val="nil"/>
                    <w:bottom w:val="single" w:sz="8" w:space="0" w:color="C0504D"/>
                  </w:tcBorders>
                  <w:shd w:val="clear" w:color="auto" w:fill="auto"/>
                </w:tcPr>
                <w:p w14:paraId="5C7E2EAB" w14:textId="01E50935" w:rsidR="00784FBD" w:rsidRPr="00B86016" w:rsidRDefault="00784FBD" w:rsidP="00B86016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  <w:t>Start-up</w:t>
                  </w:r>
                </w:p>
              </w:tc>
            </w:tr>
            <w:tr w:rsidR="00784FBD" w:rsidRPr="00E83012" w14:paraId="0FF06EEC" w14:textId="77777777" w:rsidTr="00B86016">
              <w:tc>
                <w:tcPr>
                  <w:tcW w:w="6432" w:type="dxa"/>
                  <w:gridSpan w:val="6"/>
                  <w:shd w:val="clear" w:color="auto" w:fill="EFD3D2"/>
                </w:tcPr>
                <w:p w14:paraId="4E3986AD" w14:textId="4FCF61B5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  <w:t>Major operating:</w:t>
                  </w:r>
                </w:p>
              </w:tc>
            </w:tr>
            <w:tr w:rsidR="00B86016" w:rsidRPr="00E83012" w14:paraId="5ED4C6AA" w14:textId="77777777" w:rsidTr="00B86016">
              <w:tc>
                <w:tcPr>
                  <w:tcW w:w="1033" w:type="dxa"/>
                  <w:shd w:val="clear" w:color="auto" w:fill="auto"/>
                </w:tcPr>
                <w:p w14:paraId="69A5023A" w14:textId="0C7686BA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A53511F" w14:textId="45D435EA" w:rsidR="00784FBD" w:rsidRPr="00B86016" w:rsidRDefault="00784FBD" w:rsidP="00B86016">
                  <w:pPr>
                    <w:jc w:val="lef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Mt Tom Price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695BFB3C" w14:textId="22F8CB08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n.a.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08C21912" w14:textId="192BDF23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40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9488D13" w14:textId="231E6487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0F58DAF6" w14:textId="7860B6E2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1966</w:t>
                  </w:r>
                </w:p>
              </w:tc>
            </w:tr>
            <w:tr w:rsidR="00B86016" w:rsidRPr="00E83012" w14:paraId="09398AC1" w14:textId="77777777" w:rsidTr="00B86016">
              <w:tc>
                <w:tcPr>
                  <w:tcW w:w="1033" w:type="dxa"/>
                  <w:shd w:val="clear" w:color="auto" w:fill="EFD3D2"/>
                </w:tcPr>
                <w:p w14:paraId="01713642" w14:textId="20FBF524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BHP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6F3B3CB8" w14:textId="587CE5C7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Newman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4E954845" w14:textId="5B579AB5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n.a.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500253F6" w14:textId="36A80363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045BD67E" w14:textId="3DBDC7E4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5240563F" w14:textId="06D5CCBE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1969</w:t>
                  </w:r>
                </w:p>
              </w:tc>
            </w:tr>
            <w:tr w:rsidR="00B86016" w:rsidRPr="00E83012" w14:paraId="6843E88B" w14:textId="77777777" w:rsidTr="00B86016">
              <w:tc>
                <w:tcPr>
                  <w:tcW w:w="1033" w:type="dxa"/>
                  <w:shd w:val="clear" w:color="auto" w:fill="auto"/>
                </w:tcPr>
                <w:p w14:paraId="141CA180" w14:textId="7F21A7A7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96C6BB7" w14:textId="5D0FE6FC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Robe River - Pannawonica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3F6D1882" w14:textId="6AA88905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n.a.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57520293" w14:textId="58812AF7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039A8F5" w14:textId="15FDAD3C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57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3F137387" w14:textId="4C40D8CA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1974</w:t>
                  </w:r>
                </w:p>
              </w:tc>
            </w:tr>
            <w:tr w:rsidR="00B86016" w:rsidRPr="00E83012" w14:paraId="361AF0FF" w14:textId="77777777" w:rsidTr="00B86016">
              <w:tc>
                <w:tcPr>
                  <w:tcW w:w="1033" w:type="dxa"/>
                  <w:shd w:val="clear" w:color="auto" w:fill="EFD3D2"/>
                </w:tcPr>
                <w:p w14:paraId="0CD64FA7" w14:textId="458A8516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BHP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14BA8460" w14:textId="70A38238" w:rsidR="00784FBD" w:rsidRPr="00B86016" w:rsidRDefault="00784FBD" w:rsidP="00B86016">
                  <w:pPr>
                    <w:jc w:val="lef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Yandi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52750E05" w14:textId="4076DC82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n.a.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6FA7CA07" w14:textId="44059C87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80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12FE642F" w14:textId="51F4B64C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44561972" w14:textId="587B47F5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1992</w:t>
                  </w:r>
                </w:p>
              </w:tc>
            </w:tr>
            <w:tr w:rsidR="00B86016" w:rsidRPr="00E83012" w14:paraId="4895A819" w14:textId="77777777" w:rsidTr="00B86016">
              <w:tc>
                <w:tcPr>
                  <w:tcW w:w="1033" w:type="dxa"/>
                  <w:shd w:val="clear" w:color="auto" w:fill="auto"/>
                </w:tcPr>
                <w:p w14:paraId="31A477F8" w14:textId="4FEBFACD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D9B3977" w14:textId="6E4FCFCB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Yandicoogina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16F851F1" w14:textId="64670CAE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n.a.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4F6C3782" w14:textId="21582D85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59A4F78" w14:textId="29D2DEBD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59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0BE76EE3" w14:textId="371423B9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1998</w:t>
                  </w:r>
                </w:p>
              </w:tc>
            </w:tr>
            <w:tr w:rsidR="00B86016" w:rsidRPr="00E83012" w14:paraId="2F0B1861" w14:textId="77777777" w:rsidTr="00B86016">
              <w:tc>
                <w:tcPr>
                  <w:tcW w:w="1033" w:type="dxa"/>
                  <w:shd w:val="clear" w:color="auto" w:fill="EFD3D2"/>
                </w:tcPr>
                <w:p w14:paraId="0FEDA688" w14:textId="3710EDDF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2B1A5EC3" w14:textId="645D8823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Robe River - West Angelas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2DB230E3" w14:textId="75BA5B1F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1,700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280A4A56" w14:textId="784C8D90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2DD27EDD" w14:textId="3FF0DFE9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7F59B1E8" w14:textId="7B6ADC31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2002</w:t>
                  </w:r>
                </w:p>
              </w:tc>
            </w:tr>
            <w:tr w:rsidR="00B86016" w:rsidRPr="00E83012" w14:paraId="20B8931B" w14:textId="77777777" w:rsidTr="00B86016">
              <w:tc>
                <w:tcPr>
                  <w:tcW w:w="1033" w:type="dxa"/>
                  <w:shd w:val="clear" w:color="auto" w:fill="auto"/>
                </w:tcPr>
                <w:p w14:paraId="5AE46F29" w14:textId="640AA099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BHP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8894DB1" w14:textId="0B828762" w:rsidR="00784FBD" w:rsidRPr="00B86016" w:rsidRDefault="00784FBD" w:rsidP="00B86016">
                  <w:pPr>
                    <w:jc w:val="lef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Mining Area C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167631F5" w14:textId="262C17CF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3,000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4F672F63" w14:textId="285BA9B7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491C953" w14:textId="653D2192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27E53F42" w14:textId="60EB690C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2003</w:t>
                  </w:r>
                </w:p>
              </w:tc>
            </w:tr>
            <w:tr w:rsidR="00B86016" w:rsidRPr="00E83012" w14:paraId="322241FE" w14:textId="77777777" w:rsidTr="00B86016">
              <w:tc>
                <w:tcPr>
                  <w:tcW w:w="1033" w:type="dxa"/>
                  <w:shd w:val="clear" w:color="auto" w:fill="EFD3D2"/>
                </w:tcPr>
                <w:p w14:paraId="3272C4B1" w14:textId="5C5347EF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77F094BC" w14:textId="291CB291" w:rsidR="00784FBD" w:rsidRPr="00B86016" w:rsidRDefault="00784FBD" w:rsidP="00B86016">
                  <w:pPr>
                    <w:jc w:val="lef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Nammuldi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6386F9B7" w14:textId="5AC0177A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n.a.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4C26C06A" w14:textId="4F71FD1C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05B081AC" w14:textId="4301A941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5F6B4AD2" w14:textId="392BE72F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2006</w:t>
                  </w:r>
                </w:p>
              </w:tc>
            </w:tr>
            <w:tr w:rsidR="00B86016" w:rsidRPr="00E83012" w14:paraId="54C4F0CA" w14:textId="77777777" w:rsidTr="00B86016">
              <w:tc>
                <w:tcPr>
                  <w:tcW w:w="1033" w:type="dxa"/>
                  <w:shd w:val="clear" w:color="auto" w:fill="auto"/>
                </w:tcPr>
                <w:p w14:paraId="3B598238" w14:textId="0BE8EE50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3E57CD3" w14:textId="000BF6BB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Hope Downs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45F2ACBA" w14:textId="6EAD454D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3,400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09D94200" w14:textId="605F8E2B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EC5B916" w14:textId="78AECB8F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61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325A7EF3" w14:textId="55585F17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2007</w:t>
                  </w:r>
                </w:p>
              </w:tc>
            </w:tr>
            <w:tr w:rsidR="00B86016" w:rsidRPr="00E83012" w14:paraId="565D21CB" w14:textId="77777777" w:rsidTr="00B86016">
              <w:tc>
                <w:tcPr>
                  <w:tcW w:w="1033" w:type="dxa"/>
                  <w:shd w:val="clear" w:color="auto" w:fill="EFD3D2"/>
                </w:tcPr>
                <w:p w14:paraId="537411E1" w14:textId="7C12AB3D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FMG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26DED462" w14:textId="0339FA67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Chichester Hub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4D867FCE" w14:textId="7B40613F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8,800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3BE1D143" w14:textId="70497B01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6125BF7E" w14:textId="0D81964B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003041E8" w14:textId="31A11940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2008</w:t>
                  </w:r>
                </w:p>
              </w:tc>
            </w:tr>
            <w:tr w:rsidR="00784FBD" w:rsidRPr="00E83012" w14:paraId="58E858DE" w14:textId="77777777" w:rsidTr="00B86016">
              <w:tc>
                <w:tcPr>
                  <w:tcW w:w="6432" w:type="dxa"/>
                  <w:gridSpan w:val="6"/>
                  <w:shd w:val="clear" w:color="auto" w:fill="auto"/>
                </w:tcPr>
                <w:p w14:paraId="493D8A1D" w14:textId="52EC692D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  <w:t>Recently completed:</w:t>
                  </w:r>
                </w:p>
              </w:tc>
            </w:tr>
            <w:tr w:rsidR="00B86016" w:rsidRPr="00E83012" w14:paraId="7EBB007B" w14:textId="77777777" w:rsidTr="00B86016">
              <w:tc>
                <w:tcPr>
                  <w:tcW w:w="1033" w:type="dxa"/>
                  <w:shd w:val="clear" w:color="auto" w:fill="EFD3D2"/>
                </w:tcPr>
                <w:p w14:paraId="64A630C9" w14:textId="5724BDC1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FMG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56AA7DB0" w14:textId="3B5C340C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Solomon Hub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65A4ADA4" w14:textId="12A05D0F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9,600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79A64B36" w14:textId="12947CD0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70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7BA04043" w14:textId="360BDDE3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4DCE4F0A" w14:textId="0056BD82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2013</w:t>
                  </w:r>
                </w:p>
              </w:tc>
            </w:tr>
            <w:tr w:rsidR="00B86016" w:rsidRPr="00E83012" w14:paraId="0949C44A" w14:textId="77777777" w:rsidTr="00B86016">
              <w:tc>
                <w:tcPr>
                  <w:tcW w:w="1033" w:type="dxa"/>
                  <w:shd w:val="clear" w:color="auto" w:fill="auto"/>
                </w:tcPr>
                <w:p w14:paraId="278405B7" w14:textId="0EDF8277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Gindalbie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EDC0950" w14:textId="2AAA39A7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Karara*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2A5DEEA6" w14:textId="48BEFAD5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2,600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70990CB3" w14:textId="408E62DD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8-16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A892A49" w14:textId="38A5B3B7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66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3B2804B7" w14:textId="4B5A02C2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2013</w:t>
                  </w:r>
                </w:p>
              </w:tc>
            </w:tr>
            <w:tr w:rsidR="00B86016" w:rsidRPr="00E83012" w14:paraId="1824A8BE" w14:textId="77777777" w:rsidTr="00B86016">
              <w:tc>
                <w:tcPr>
                  <w:tcW w:w="1033" w:type="dxa"/>
                  <w:shd w:val="clear" w:color="auto" w:fill="EFD3D2"/>
                </w:tcPr>
                <w:p w14:paraId="3C536369" w14:textId="5010A59C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CITIC Pacific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661987BD" w14:textId="1CA2316A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Sino Iron*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7C793A45" w14:textId="7F4300A8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12,000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51BD5663" w14:textId="070ED399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67A7EE67" w14:textId="28FB2883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66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3071C879" w14:textId="389613C4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2013</w:t>
                  </w:r>
                </w:p>
              </w:tc>
            </w:tr>
            <w:tr w:rsidR="00B86016" w:rsidRPr="00E83012" w14:paraId="3CA1FC73" w14:textId="77777777" w:rsidTr="00B86016">
              <w:tc>
                <w:tcPr>
                  <w:tcW w:w="1033" w:type="dxa"/>
                  <w:shd w:val="clear" w:color="auto" w:fill="auto"/>
                </w:tcPr>
                <w:p w14:paraId="670E6452" w14:textId="222A9507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BHP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E2B7E86" w14:textId="6A2435A8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Jimblebar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55A1A143" w14:textId="3B87AFA1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3,800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34B4653A" w14:textId="6F6B20AB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35-55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79C2C67" w14:textId="2313DF21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63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0D602617" w14:textId="28D7D129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2013</w:t>
                  </w:r>
                </w:p>
              </w:tc>
            </w:tr>
            <w:tr w:rsidR="00B86016" w:rsidRPr="00E83012" w14:paraId="698F6AD1" w14:textId="77777777" w:rsidTr="00B86016">
              <w:tc>
                <w:tcPr>
                  <w:tcW w:w="1033" w:type="dxa"/>
                  <w:shd w:val="clear" w:color="auto" w:fill="EFD3D2"/>
                </w:tcPr>
                <w:p w14:paraId="2D5E952E" w14:textId="14618C90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208DD18A" w14:textId="091E2B66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Nammuldi (Expansion)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7BAC6E13" w14:textId="204D74A1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2,200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2107D207" w14:textId="0B0A1A59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10-20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44112B96" w14:textId="5796002E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61C1F98C" w14:textId="63C92790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2014</w:t>
                  </w:r>
                </w:p>
              </w:tc>
            </w:tr>
            <w:tr w:rsidR="00B86016" w:rsidRPr="00E83012" w14:paraId="5800061A" w14:textId="77777777" w:rsidTr="00B86016">
              <w:tc>
                <w:tcPr>
                  <w:tcW w:w="1033" w:type="dxa"/>
                  <w:shd w:val="clear" w:color="auto" w:fill="auto"/>
                </w:tcPr>
                <w:p w14:paraId="3E01B08A" w14:textId="0A0D1787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Hancock Pros.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1DE6517" w14:textId="1295EF02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Roy Hill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2BD8FDB8" w14:textId="7566D5AA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13,700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3E8A57EE" w14:textId="32481F4E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55-60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C5C285D" w14:textId="70117F22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61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56856EFF" w14:textId="4612D2F5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2015</w:t>
                  </w:r>
                </w:p>
              </w:tc>
            </w:tr>
            <w:tr w:rsidR="00B86016" w:rsidRPr="00E83012" w14:paraId="2212F73C" w14:textId="77777777" w:rsidTr="00B86016">
              <w:tc>
                <w:tcPr>
                  <w:tcW w:w="1033" w:type="dxa"/>
                  <w:shd w:val="clear" w:color="auto" w:fill="EFD3D2"/>
                </w:tcPr>
                <w:p w14:paraId="13F6E8A4" w14:textId="6D9C1671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0247A337" w14:textId="1B6411FD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Silvergrass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114D1AF9" w14:textId="112D26AA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338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56107975" w14:textId="511CBC32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10-20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5110546C" w14:textId="23DC0982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7A8381AE" w14:textId="0FD7DDC3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2017</w:t>
                  </w:r>
                </w:p>
              </w:tc>
            </w:tr>
            <w:tr w:rsidR="00B86016" w:rsidRPr="00E83012" w14:paraId="0F84EABD" w14:textId="77777777" w:rsidTr="00B86016">
              <w:tc>
                <w:tcPr>
                  <w:tcW w:w="1033" w:type="dxa"/>
                  <w:shd w:val="clear" w:color="auto" w:fill="auto"/>
                </w:tcPr>
                <w:p w14:paraId="43F1F0B1" w14:textId="64B64DF3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Mt Gibson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3AB8F04" w14:textId="6A4F4AF4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Koolan Island (Restart)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579A68B0" w14:textId="0E94441A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97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59AF18C7" w14:textId="0CE5FA14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D567943" w14:textId="37D61762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65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6976D98D" w14:textId="15B640B2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2019</w:t>
                  </w:r>
                </w:p>
              </w:tc>
            </w:tr>
            <w:tr w:rsidR="00784FBD" w:rsidRPr="00E83012" w14:paraId="3654F5E5" w14:textId="77777777" w:rsidTr="00B86016">
              <w:tc>
                <w:tcPr>
                  <w:tcW w:w="6432" w:type="dxa"/>
                  <w:gridSpan w:val="6"/>
                  <w:shd w:val="clear" w:color="auto" w:fill="EFD3D2"/>
                </w:tcPr>
                <w:p w14:paraId="4CA3788F" w14:textId="2CE974DE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  <w:t>Under construction or committed:</w:t>
                  </w:r>
                </w:p>
              </w:tc>
            </w:tr>
            <w:tr w:rsidR="00B86016" w:rsidRPr="00E83012" w14:paraId="677B94B0" w14:textId="77777777" w:rsidTr="00B86016">
              <w:tc>
                <w:tcPr>
                  <w:tcW w:w="1033" w:type="dxa"/>
                  <w:shd w:val="clear" w:color="auto" w:fill="auto"/>
                </w:tcPr>
                <w:p w14:paraId="0E880CC2" w14:textId="7C5E916D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FMG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45E2C72" w14:textId="73571FE4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Eliwana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7BDBCD34" w14:textId="4A7A419E" w:rsidR="00784FBD" w:rsidRPr="000D08B9" w:rsidRDefault="0019250B" w:rsidP="00B86016">
                  <w:pPr>
                    <w:jc w:val="right"/>
                    <w:rPr>
                      <w:rFonts w:cs="Arial"/>
                      <w:sz w:val="12"/>
                      <w:szCs w:val="12"/>
                    </w:rPr>
                  </w:pPr>
                  <w:r w:rsidRPr="000D08B9">
                    <w:rPr>
                      <w:rFonts w:cs="Arial"/>
                      <w:sz w:val="12"/>
                      <w:szCs w:val="12"/>
                    </w:rPr>
                    <w:t>1,8</w:t>
                  </w:r>
                  <w:r w:rsidR="00784FBD" w:rsidRPr="000D08B9">
                    <w:rPr>
                      <w:rFonts w:cs="Arial"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3A5C4225" w14:textId="3210E221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06261D5" w14:textId="74B097EC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FF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594FDA6E" w14:textId="51057D1C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2020</w:t>
                  </w:r>
                </w:p>
              </w:tc>
            </w:tr>
            <w:tr w:rsidR="00B86016" w:rsidRPr="00E83012" w14:paraId="246059DB" w14:textId="77777777" w:rsidTr="00B86016">
              <w:tc>
                <w:tcPr>
                  <w:tcW w:w="1033" w:type="dxa"/>
                  <w:shd w:val="clear" w:color="auto" w:fill="EFD3D2"/>
                </w:tcPr>
                <w:p w14:paraId="37A63D86" w14:textId="64E3EE2A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BHP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7F92FF3D" w14:textId="5DC37F7A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South Flank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4556C4E4" w14:textId="4C227FDD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4,700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2CCC30E0" w14:textId="4D7BCBA6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80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307BD73E" w14:textId="440C543D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19FD4582" w14:textId="6A6FE029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2021</w:t>
                  </w:r>
                </w:p>
              </w:tc>
            </w:tr>
            <w:tr w:rsidR="00B86016" w:rsidRPr="00E83012" w14:paraId="6CD0D1EB" w14:textId="77777777" w:rsidTr="00B86016">
              <w:tc>
                <w:tcPr>
                  <w:tcW w:w="1033" w:type="dxa"/>
                  <w:shd w:val="clear" w:color="auto" w:fill="auto"/>
                </w:tcPr>
                <w:p w14:paraId="69C3A46D" w14:textId="0F6FA7A6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187CE87" w14:textId="344191AE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Robe Valley Mesa B,C &amp; H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220ADE39" w14:textId="5B33F590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1,300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15FBE7A2" w14:textId="54DFE4FD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n.a.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BF1EACB" w14:textId="0F460276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0AC96FC0" w14:textId="24E75936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2021</w:t>
                  </w:r>
                </w:p>
              </w:tc>
            </w:tr>
            <w:tr w:rsidR="00B86016" w:rsidRPr="00E83012" w14:paraId="30AEAA1F" w14:textId="77777777" w:rsidTr="00B86016">
              <w:tc>
                <w:tcPr>
                  <w:tcW w:w="1033" w:type="dxa"/>
                  <w:shd w:val="clear" w:color="auto" w:fill="EFD3D2"/>
                </w:tcPr>
                <w:p w14:paraId="278DFECA" w14:textId="3531095B" w:rsidR="00784FBD" w:rsidRPr="00B86016" w:rsidRDefault="00784FBD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0D7458F0" w14:textId="11191DB2" w:rsidR="00784FBD" w:rsidRPr="00B86016" w:rsidRDefault="00784FBD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West Angelas Deposits C &amp; D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4384A297" w14:textId="6A2B6279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800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525E458F" w14:textId="13659EC3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n.a.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059F5C77" w14:textId="5720A432" w:rsidR="00784FBD" w:rsidRPr="00B86016" w:rsidRDefault="00784FBD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4DAAE8B8" w14:textId="57EA495B" w:rsidR="00784FBD" w:rsidRPr="00B86016" w:rsidRDefault="00784FBD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2021</w:t>
                  </w:r>
                </w:p>
              </w:tc>
            </w:tr>
            <w:tr w:rsidR="00B86016" w:rsidRPr="00E83012" w14:paraId="2954C83A" w14:textId="77777777" w:rsidTr="00B86016">
              <w:tc>
                <w:tcPr>
                  <w:tcW w:w="1033" w:type="dxa"/>
                  <w:shd w:val="clear" w:color="auto" w:fill="auto"/>
                </w:tcPr>
                <w:p w14:paraId="54DEEC1A" w14:textId="1B67EDA7" w:rsidR="008A088E" w:rsidRPr="00B86016" w:rsidRDefault="008A088E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7147392" w14:textId="7D14F349" w:rsidR="008A088E" w:rsidRPr="00B86016" w:rsidRDefault="008A088E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Western Turner Syncline 2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36A25E83" w14:textId="27C62CA2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1,000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0E10A375" w14:textId="78AB1917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F5B6724" w14:textId="56EE8A2E" w:rsidR="008A088E" w:rsidRPr="00B86016" w:rsidRDefault="008A088E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6090AD4A" w14:textId="1837E63F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2021</w:t>
                  </w:r>
                </w:p>
              </w:tc>
            </w:tr>
            <w:tr w:rsidR="00B86016" w:rsidRPr="00E83012" w14:paraId="46D5BF1C" w14:textId="77777777" w:rsidTr="00B86016">
              <w:tc>
                <w:tcPr>
                  <w:tcW w:w="1033" w:type="dxa"/>
                  <w:shd w:val="clear" w:color="auto" w:fill="EFD3D2"/>
                </w:tcPr>
                <w:p w14:paraId="6CAF08D3" w14:textId="5B280288" w:rsidR="008A088E" w:rsidRPr="00B86016" w:rsidRDefault="008A088E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Rio Tinto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11F28210" w14:textId="21AC5C08" w:rsidR="008A088E" w:rsidRPr="000A487B" w:rsidRDefault="00225A57" w:rsidP="00B86016">
                  <w:pPr>
                    <w:jc w:val="left"/>
                    <w:rPr>
                      <w:rFonts w:cs="Arial"/>
                      <w:sz w:val="12"/>
                      <w:szCs w:val="12"/>
                    </w:rPr>
                  </w:pPr>
                  <w:r w:rsidRPr="000A487B">
                    <w:rPr>
                      <w:rFonts w:cs="Arial"/>
                      <w:sz w:val="12"/>
                      <w:szCs w:val="12"/>
                    </w:rPr>
                    <w:t>Gudai-Darri (</w:t>
                  </w:r>
                  <w:r w:rsidR="008A088E" w:rsidRPr="000A487B">
                    <w:rPr>
                      <w:rFonts w:cs="Arial"/>
                      <w:sz w:val="12"/>
                      <w:szCs w:val="12"/>
                    </w:rPr>
                    <w:t>Koodaideri</w:t>
                  </w:r>
                  <w:r w:rsidRPr="000A487B">
                    <w:rPr>
                      <w:rFonts w:cs="Arial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1F745996" w14:textId="1F5FC11E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3,500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4D9D84B1" w14:textId="50358A43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43-70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2EF852CB" w14:textId="508F3437" w:rsidR="008A088E" w:rsidRPr="00B86016" w:rsidRDefault="008A088E" w:rsidP="00B86016">
                  <w:pPr>
                    <w:jc w:val="right"/>
                    <w:rPr>
                      <w:rFonts w:cs="Arial"/>
                      <w:bCs/>
                      <w:color w:val="FF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59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078CFD15" w14:textId="74811F13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202</w:t>
                  </w:r>
                  <w:r w:rsidR="00232002"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</w:tr>
            <w:tr w:rsidR="00B86016" w:rsidRPr="00E83012" w14:paraId="30101373" w14:textId="77777777" w:rsidTr="00B86016">
              <w:tc>
                <w:tcPr>
                  <w:tcW w:w="1033" w:type="dxa"/>
                  <w:shd w:val="clear" w:color="auto" w:fill="auto"/>
                </w:tcPr>
                <w:p w14:paraId="01B881BB" w14:textId="35AF4677" w:rsidR="008A088E" w:rsidRPr="00B86016" w:rsidRDefault="008A088E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FMG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E5584CE" w14:textId="49501AA9" w:rsidR="008A088E" w:rsidRPr="00B86016" w:rsidRDefault="008A088E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Iron Bridge Stage 2*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51D48A36" w14:textId="3CA447DD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3,700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14:paraId="61C70D03" w14:textId="2D03E866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10-22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C4B0C4D" w14:textId="7467DDE0" w:rsidR="008A088E" w:rsidRPr="00B86016" w:rsidRDefault="008A088E" w:rsidP="00B86016">
                  <w:pPr>
                    <w:jc w:val="right"/>
                    <w:rPr>
                      <w:rFonts w:cs="Arial"/>
                      <w:bCs/>
                      <w:color w:val="FF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67</w:t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14:paraId="5623A224" w14:textId="5C5D2519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2022</w:t>
                  </w:r>
                </w:p>
              </w:tc>
            </w:tr>
            <w:tr w:rsidR="00B86016" w:rsidRPr="00E83012" w14:paraId="0018A760" w14:textId="77777777" w:rsidTr="00B86016">
              <w:tc>
                <w:tcPr>
                  <w:tcW w:w="1033" w:type="dxa"/>
                  <w:shd w:val="clear" w:color="auto" w:fill="EFD3D2"/>
                </w:tcPr>
                <w:p w14:paraId="0A5D4345" w14:textId="4A689DD9" w:rsidR="008A088E" w:rsidRPr="00B86016" w:rsidRDefault="008A088E" w:rsidP="00B86016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FMG</w:t>
                  </w:r>
                </w:p>
              </w:tc>
              <w:tc>
                <w:tcPr>
                  <w:tcW w:w="1985" w:type="dxa"/>
                  <w:shd w:val="clear" w:color="auto" w:fill="EFD3D2"/>
                </w:tcPr>
                <w:p w14:paraId="36EA776C" w14:textId="00AACE48" w:rsidR="008A088E" w:rsidRPr="00B86016" w:rsidRDefault="008A088E" w:rsidP="00B86016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Queens Valley (Solomon Hub)</w:t>
                  </w:r>
                </w:p>
              </w:tc>
              <w:tc>
                <w:tcPr>
                  <w:tcW w:w="978" w:type="dxa"/>
                  <w:shd w:val="clear" w:color="auto" w:fill="EFD3D2"/>
                </w:tcPr>
                <w:p w14:paraId="5BF43D67" w14:textId="42BAB086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723" w:type="dxa"/>
                  <w:shd w:val="clear" w:color="auto" w:fill="EFD3D2"/>
                </w:tcPr>
                <w:p w14:paraId="43E48A16" w14:textId="60F10178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n.a.</w:t>
                  </w:r>
                </w:p>
              </w:tc>
              <w:tc>
                <w:tcPr>
                  <w:tcW w:w="850" w:type="dxa"/>
                  <w:shd w:val="clear" w:color="auto" w:fill="EFD3D2"/>
                </w:tcPr>
                <w:p w14:paraId="31923686" w14:textId="5643F732" w:rsidR="008A088E" w:rsidRPr="00B86016" w:rsidRDefault="008A088E" w:rsidP="00B86016">
                  <w:pPr>
                    <w:jc w:val="right"/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bCs/>
                      <w:color w:val="000000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863" w:type="dxa"/>
                  <w:shd w:val="clear" w:color="auto" w:fill="EFD3D2"/>
                </w:tcPr>
                <w:p w14:paraId="514285ED" w14:textId="2C99EC99" w:rsidR="008A088E" w:rsidRPr="00B86016" w:rsidRDefault="008A088E" w:rsidP="00B86016">
                  <w:pPr>
                    <w:jc w:val="righ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B86016">
                    <w:rPr>
                      <w:rFonts w:cs="Arial"/>
                      <w:color w:val="000000"/>
                      <w:sz w:val="12"/>
                      <w:szCs w:val="12"/>
                    </w:rPr>
                    <w:t>2022</w:t>
                  </w:r>
                </w:p>
              </w:tc>
            </w:tr>
          </w:tbl>
          <w:p w14:paraId="7F8BB702" w14:textId="77777777" w:rsidR="00130D72" w:rsidRPr="00E83012" w:rsidRDefault="00130D72" w:rsidP="003440D5">
            <w:pPr>
              <w:jc w:val="center"/>
              <w:rPr>
                <w:rFonts w:cs="Arial"/>
                <w:sz w:val="14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DF8BD84" w14:textId="77777777" w:rsidR="00130D72" w:rsidRPr="00E84F58" w:rsidRDefault="00130D72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130D72" w:rsidRPr="00E84F58" w14:paraId="6C4B59B6" w14:textId="77777777" w:rsidTr="00101506">
        <w:tc>
          <w:tcPr>
            <w:tcW w:w="6661" w:type="dxa"/>
            <w:shd w:val="clear" w:color="auto" w:fill="auto"/>
          </w:tcPr>
          <w:p w14:paraId="0A1ABDF1" w14:textId="345253DE" w:rsidR="00130D72" w:rsidRPr="00E83012" w:rsidRDefault="00784FBD" w:rsidP="004F2E9F">
            <w:pPr>
              <w:rPr>
                <w:rFonts w:cs="Arial"/>
                <w:sz w:val="10"/>
                <w:szCs w:val="20"/>
              </w:rPr>
            </w:pPr>
            <w:r w:rsidRPr="00E83012">
              <w:rPr>
                <w:rFonts w:cs="Arial"/>
                <w:sz w:val="10"/>
                <w:szCs w:val="20"/>
              </w:rPr>
              <w:t xml:space="preserve">n.a. – not available or not applicable. * Magnetite. </w:t>
            </w:r>
            <w:r w:rsidRPr="00E83012">
              <w:rPr>
                <w:rFonts w:cs="Arial"/>
                <w:sz w:val="10"/>
                <w:szCs w:val="20"/>
                <w:vertAlign w:val="superscript"/>
              </w:rPr>
              <w:t>1</w:t>
            </w:r>
            <w:r w:rsidRPr="00E83012">
              <w:rPr>
                <w:rFonts w:cs="Arial"/>
                <w:sz w:val="10"/>
                <w:szCs w:val="20"/>
              </w:rPr>
              <w:t xml:space="preserve"> Includes mines and rail and port infrastructure. </w:t>
            </w:r>
            <w:r w:rsidRPr="00E83012">
              <w:rPr>
                <w:rFonts w:cs="Arial"/>
                <w:sz w:val="10"/>
                <w:szCs w:val="20"/>
                <w:vertAlign w:val="superscript"/>
              </w:rPr>
              <w:t>2</w:t>
            </w:r>
            <w:r w:rsidRPr="00E83012">
              <w:rPr>
                <w:rFonts w:cs="Arial"/>
                <w:sz w:val="10"/>
                <w:szCs w:val="20"/>
              </w:rPr>
              <w:t xml:space="preserve"> Product grade if available, otherwise reserve grade for direct shipping ores. Source: S&amp;P Global Market </w:t>
            </w:r>
            <w:r w:rsidRPr="002D3924">
              <w:rPr>
                <w:rFonts w:cs="Arial"/>
                <w:sz w:val="10"/>
                <w:szCs w:val="20"/>
              </w:rPr>
              <w:t xml:space="preserve">Intelligence; Wood Mackenzie, </w:t>
            </w:r>
            <w:r>
              <w:rPr>
                <w:rFonts w:cs="Arial"/>
                <w:sz w:val="10"/>
                <w:szCs w:val="20"/>
              </w:rPr>
              <w:t xml:space="preserve">Global </w:t>
            </w:r>
            <w:r w:rsidRPr="002D3924">
              <w:rPr>
                <w:rFonts w:cs="Arial"/>
                <w:sz w:val="10"/>
                <w:szCs w:val="20"/>
              </w:rPr>
              <w:t>Iron Ore Market</w:t>
            </w:r>
            <w:r>
              <w:rPr>
                <w:rFonts w:cs="Arial"/>
                <w:sz w:val="10"/>
                <w:szCs w:val="20"/>
              </w:rPr>
              <w:t>s</w:t>
            </w:r>
            <w:r w:rsidRPr="002D3924">
              <w:rPr>
                <w:rFonts w:cs="Arial"/>
                <w:sz w:val="10"/>
                <w:szCs w:val="20"/>
              </w:rPr>
              <w:t xml:space="preserve"> Long-term Outlook</w:t>
            </w:r>
            <w:r>
              <w:rPr>
                <w:rFonts w:cs="Arial"/>
                <w:sz w:val="10"/>
                <w:szCs w:val="20"/>
              </w:rPr>
              <w:t xml:space="preserve"> Data; </w:t>
            </w:r>
            <w:r w:rsidRPr="002D3924">
              <w:rPr>
                <w:rFonts w:cs="Arial"/>
                <w:sz w:val="10"/>
                <w:szCs w:val="20"/>
              </w:rPr>
              <w:t>and</w:t>
            </w:r>
            <w:r w:rsidRPr="00E83012">
              <w:rPr>
                <w:rFonts w:cs="Arial"/>
                <w:sz w:val="10"/>
                <w:szCs w:val="20"/>
              </w:rPr>
              <w:t xml:space="preserve"> company announcements, reports and presentations.</w:t>
            </w:r>
          </w:p>
        </w:tc>
        <w:tc>
          <w:tcPr>
            <w:tcW w:w="3969" w:type="dxa"/>
            <w:vMerge/>
            <w:shd w:val="clear" w:color="auto" w:fill="auto"/>
          </w:tcPr>
          <w:p w14:paraId="3EF58710" w14:textId="77777777" w:rsidR="00130D72" w:rsidRPr="00E84F58" w:rsidRDefault="00130D72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1BD8059" w14:textId="77777777" w:rsidR="00F603E4" w:rsidRPr="00130D72" w:rsidRDefault="00F603E4" w:rsidP="00062B27">
      <w:pPr>
        <w:rPr>
          <w:rFonts w:cs="Arial"/>
          <w:sz w:val="4"/>
          <w:szCs w:val="20"/>
        </w:rPr>
      </w:pPr>
    </w:p>
    <w:tbl>
      <w:tblPr>
        <w:tblW w:w="10630" w:type="dxa"/>
        <w:tblInd w:w="-1593" w:type="dxa"/>
        <w:tblLook w:val="04A0" w:firstRow="1" w:lastRow="0" w:firstColumn="1" w:lastColumn="0" w:noHBand="0" w:noVBand="1"/>
      </w:tblPr>
      <w:tblGrid>
        <w:gridCol w:w="6661"/>
        <w:gridCol w:w="3969"/>
      </w:tblGrid>
      <w:tr w:rsidR="00130D72" w:rsidRPr="00E84F58" w14:paraId="47C4F53F" w14:textId="77777777" w:rsidTr="0095701D">
        <w:tc>
          <w:tcPr>
            <w:tcW w:w="6661" w:type="dxa"/>
            <w:shd w:val="clear" w:color="auto" w:fill="C0504D"/>
          </w:tcPr>
          <w:p w14:paraId="7DF19917" w14:textId="76AEA7DB" w:rsidR="00130D72" w:rsidRPr="00E84F58" w:rsidRDefault="00130D72" w:rsidP="00062B27">
            <w:pPr>
              <w:jc w:val="center"/>
              <w:rPr>
                <w:rFonts w:cs="Arial"/>
                <w:sz w:val="20"/>
                <w:szCs w:val="20"/>
              </w:rPr>
            </w:pPr>
            <w:r w:rsidRPr="00C90210">
              <w:rPr>
                <w:rFonts w:cs="Arial"/>
                <w:color w:val="FFFFFF"/>
                <w:sz w:val="20"/>
                <w:szCs w:val="20"/>
              </w:rPr>
              <w:t>Direct iron ore industry employment</w:t>
            </w:r>
            <w:r w:rsidR="008208CF" w:rsidRPr="008208CF">
              <w:rPr>
                <w:rFonts w:cs="Arial"/>
                <w:color w:val="FFFF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865E3B0" w14:textId="1980F990" w:rsidR="00784FBD" w:rsidRPr="006278DB" w:rsidRDefault="00784FBD" w:rsidP="008B3069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6278DB">
              <w:rPr>
                <w:rFonts w:cs="Arial"/>
                <w:sz w:val="18"/>
                <w:szCs w:val="20"/>
              </w:rPr>
              <w:t>Direct employment in Western Austr</w:t>
            </w:r>
            <w:r w:rsidR="00E039CA" w:rsidRPr="006278DB">
              <w:rPr>
                <w:rFonts w:cs="Arial"/>
                <w:sz w:val="18"/>
                <w:szCs w:val="20"/>
              </w:rPr>
              <w:t>alia’s iron ore industry rose 12% to 50,753</w:t>
            </w:r>
            <w:r w:rsidRPr="006278DB">
              <w:rPr>
                <w:rFonts w:cs="Arial"/>
                <w:sz w:val="18"/>
                <w:szCs w:val="20"/>
              </w:rPr>
              <w:t xml:space="preserve"> in 2019</w:t>
            </w:r>
            <w:r w:rsidR="00E039CA" w:rsidRPr="006278DB">
              <w:rPr>
                <w:rFonts w:cs="Arial"/>
                <w:sz w:val="18"/>
                <w:szCs w:val="20"/>
              </w:rPr>
              <w:t>-20</w:t>
            </w:r>
            <w:r w:rsidRPr="006278DB">
              <w:rPr>
                <w:rFonts w:cs="Arial"/>
                <w:sz w:val="18"/>
                <w:szCs w:val="20"/>
              </w:rPr>
              <w:t>.</w:t>
            </w:r>
          </w:p>
          <w:p w14:paraId="388B017D" w14:textId="34A5F84A" w:rsidR="00310067" w:rsidRPr="006278DB" w:rsidRDefault="00E039CA" w:rsidP="00B7213E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6278DB">
              <w:rPr>
                <w:rFonts w:cs="Arial"/>
                <w:sz w:val="18"/>
                <w:szCs w:val="20"/>
              </w:rPr>
              <w:t>Iron ore accounted for 49</w:t>
            </w:r>
            <w:r w:rsidR="00784FBD" w:rsidRPr="006278DB">
              <w:rPr>
                <w:rFonts w:cs="Arial"/>
                <w:sz w:val="18"/>
                <w:szCs w:val="20"/>
              </w:rPr>
              <w:t>% of direct employment in Western Australia’s minerals mining industry in 2019</w:t>
            </w:r>
            <w:r w:rsidRPr="006278DB">
              <w:rPr>
                <w:rFonts w:cs="Arial"/>
                <w:sz w:val="18"/>
                <w:szCs w:val="20"/>
              </w:rPr>
              <w:t>-20</w:t>
            </w:r>
            <w:r w:rsidR="00784FBD" w:rsidRPr="006278DB">
              <w:rPr>
                <w:rFonts w:cs="Arial"/>
                <w:sz w:val="18"/>
                <w:szCs w:val="20"/>
              </w:rPr>
              <w:t xml:space="preserve"> (excluding exploration)</w:t>
            </w:r>
            <w:r w:rsidR="00B7213E" w:rsidRPr="006278DB">
              <w:rPr>
                <w:rFonts w:cs="Arial"/>
                <w:sz w:val="18"/>
                <w:szCs w:val="20"/>
              </w:rPr>
              <w:t>.</w:t>
            </w:r>
          </w:p>
        </w:tc>
      </w:tr>
      <w:tr w:rsidR="00130D72" w:rsidRPr="00E84F58" w14:paraId="48F47EF6" w14:textId="77777777" w:rsidTr="00101506">
        <w:tc>
          <w:tcPr>
            <w:tcW w:w="6661" w:type="dxa"/>
            <w:shd w:val="clear" w:color="auto" w:fill="auto"/>
          </w:tcPr>
          <w:p w14:paraId="6A014DBF" w14:textId="25C0794E" w:rsidR="00130D72" w:rsidRPr="00E84F58" w:rsidRDefault="00944F7E" w:rsidP="00062B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2884751F">
                <v:shape id="_x0000_i1035" type="#_x0000_t75" style="width:4in;height:163pt;mso-left-percent:-10001;mso-top-percent:-10001;mso-position-horizontal:absolute;mso-position-horizontal-relative:char;mso-position-vertical:absolute;mso-position-vertical-relative:line;mso-left-percent:-10001;mso-top-percent:-10001">
                  <v:imagedata r:id="rId22" o:title=""/>
                </v:shape>
              </w:pict>
            </w:r>
          </w:p>
        </w:tc>
        <w:tc>
          <w:tcPr>
            <w:tcW w:w="3969" w:type="dxa"/>
            <w:vMerge/>
            <w:shd w:val="clear" w:color="auto" w:fill="auto"/>
          </w:tcPr>
          <w:p w14:paraId="4F108CC0" w14:textId="77777777" w:rsidR="00130D72" w:rsidRPr="00E84F58" w:rsidRDefault="00130D72" w:rsidP="00062B27">
            <w:pPr>
              <w:rPr>
                <w:rFonts w:cs="Arial"/>
                <w:sz w:val="20"/>
                <w:szCs w:val="20"/>
              </w:rPr>
            </w:pPr>
          </w:p>
        </w:tc>
      </w:tr>
      <w:tr w:rsidR="00130D72" w:rsidRPr="00E84F58" w14:paraId="4960B6AC" w14:textId="77777777" w:rsidTr="00101506">
        <w:tc>
          <w:tcPr>
            <w:tcW w:w="6661" w:type="dxa"/>
            <w:shd w:val="clear" w:color="auto" w:fill="auto"/>
          </w:tcPr>
          <w:p w14:paraId="27D59118" w14:textId="56D5772D" w:rsidR="008208CF" w:rsidRDefault="008208CF" w:rsidP="00062B27">
            <w:pPr>
              <w:rPr>
                <w:rFonts w:cs="Arial"/>
                <w:sz w:val="10"/>
                <w:szCs w:val="20"/>
              </w:rPr>
            </w:pPr>
            <w:r w:rsidRPr="008208CF">
              <w:rPr>
                <w:rFonts w:cs="Arial"/>
                <w:sz w:val="10"/>
                <w:szCs w:val="20"/>
                <w:vertAlign w:val="superscript"/>
              </w:rPr>
              <w:t>1</w:t>
            </w:r>
            <w:r>
              <w:rPr>
                <w:rFonts w:cs="Arial"/>
                <w:sz w:val="10"/>
                <w:szCs w:val="20"/>
              </w:rPr>
              <w:t xml:space="preserve"> Full-time equivalent</w:t>
            </w:r>
            <w:r w:rsidR="007208D2">
              <w:rPr>
                <w:rFonts w:cs="Arial"/>
                <w:sz w:val="10"/>
                <w:szCs w:val="20"/>
              </w:rPr>
              <w:t xml:space="preserve"> (average on site)</w:t>
            </w:r>
            <w:r>
              <w:rPr>
                <w:rFonts w:cs="Arial"/>
                <w:sz w:val="10"/>
                <w:szCs w:val="20"/>
              </w:rPr>
              <w:t>.</w:t>
            </w:r>
          </w:p>
          <w:p w14:paraId="66B77BB5" w14:textId="7329DB78" w:rsidR="00130D72" w:rsidRPr="00130D72" w:rsidRDefault="00C12153" w:rsidP="00062B27">
            <w:pPr>
              <w:rPr>
                <w:rFonts w:cs="Arial"/>
                <w:sz w:val="10"/>
                <w:szCs w:val="20"/>
              </w:rPr>
            </w:pPr>
            <w:r>
              <w:rPr>
                <w:rFonts w:cs="Arial"/>
                <w:sz w:val="10"/>
                <w:szCs w:val="20"/>
              </w:rPr>
              <w:t>Source: Western Australian Department of Mines, Industry Regulation and Safety, Resource Data Files.</w:t>
            </w:r>
          </w:p>
        </w:tc>
        <w:tc>
          <w:tcPr>
            <w:tcW w:w="3969" w:type="dxa"/>
            <w:vMerge/>
            <w:shd w:val="clear" w:color="auto" w:fill="auto"/>
          </w:tcPr>
          <w:p w14:paraId="2811AE84" w14:textId="77777777" w:rsidR="00130D72" w:rsidRPr="00E84F58" w:rsidRDefault="00130D72" w:rsidP="00062B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9F78963" w14:textId="23982EFF" w:rsidR="008F0B61" w:rsidRPr="006D1A42" w:rsidRDefault="008F0B61" w:rsidP="00062B27">
      <w:pPr>
        <w:rPr>
          <w:rFonts w:cs="Arial"/>
          <w:sz w:val="4"/>
          <w:szCs w:val="20"/>
        </w:rPr>
      </w:pPr>
    </w:p>
    <w:sectPr w:rsidR="008F0B61" w:rsidRPr="006D1A42" w:rsidSect="00084F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361" w:bottom="1701" w:left="226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646E6" w14:textId="77777777" w:rsidR="00531D04" w:rsidRDefault="00531D04">
      <w:r>
        <w:separator/>
      </w:r>
    </w:p>
  </w:endnote>
  <w:endnote w:type="continuationSeparator" w:id="0">
    <w:p w14:paraId="16B58514" w14:textId="77777777" w:rsidR="00531D04" w:rsidRDefault="00531D04">
      <w:r>
        <w:continuationSeparator/>
      </w:r>
    </w:p>
  </w:endnote>
  <w:endnote w:type="continuationNotice" w:id="1">
    <w:p w14:paraId="5686A720" w14:textId="77777777" w:rsidR="00531D04" w:rsidRDefault="00531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E950" w14:textId="77777777" w:rsidR="00D37898" w:rsidRDefault="00D37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1FC20" w14:textId="58EBD77E" w:rsidR="00531D04" w:rsidRPr="0053099D" w:rsidRDefault="00944F7E" w:rsidP="009E2C94">
    <w:pPr>
      <w:pStyle w:val="Footer"/>
      <w:ind w:left="-1701"/>
      <w:rPr>
        <w:sz w:val="16"/>
      </w:rPr>
    </w:pPr>
    <w:r>
      <w:rPr>
        <w:sz w:val="16"/>
        <w:lang w:val="en-US"/>
      </w:rPr>
      <w:pict w14:anchorId="743A04BA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0.05pt;margin-top:801.2pt;width:522pt;height:17.25pt;z-index:-251658240;mso-wrap-edited:f;mso-position-horizontal-relative:page;mso-position-vertical-relative:page" wrapcoords="-43 0 -43 20571 21600 20571 21600 0 -43 0" filled="f" fillcolor="#f78e1d" stroked="f">
          <v:textbox style="mso-next-textbox:#_x0000_s2056;mso-fit-shape-to-text:t" inset="0,0,0,0">
            <w:txbxContent>
              <w:p w14:paraId="70D43E91" w14:textId="77777777" w:rsidR="00531D04" w:rsidRDefault="00944F7E" w:rsidP="009E2C94">
                <w:pPr>
                  <w:pStyle w:val="Footertitle"/>
                  <w:rPr>
                    <w:color w:val="333333"/>
                  </w:rPr>
                </w:pPr>
                <w:r>
                  <w:rPr>
                    <w:rFonts w:ascii="Times New Roman" w:hAnsi="Times New Roman"/>
                    <w:lang w:eastAsia="en-AU"/>
                  </w:rPr>
                  <w:pict w14:anchorId="1A9DC4F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8" type="#_x0000_t75" style="width:454.65pt;height:6pt">
                      <v:imagedata r:id="rId1" o:title="Bottom graphics"/>
                    </v:shape>
                  </w:pict>
                </w:r>
              </w:p>
            </w:txbxContent>
          </v:textbox>
          <w10:wrap type="through" anchorx="page" anchory="page"/>
        </v:shape>
      </w:pict>
    </w:r>
    <w:r w:rsidR="00781C7A">
      <w:rPr>
        <w:sz w:val="16"/>
      </w:rPr>
      <w:t xml:space="preserve">WA Iron Ore Profile – </w:t>
    </w:r>
    <w:r w:rsidR="007E1B70">
      <w:rPr>
        <w:sz w:val="16"/>
      </w:rPr>
      <w:t>Octo</w:t>
    </w:r>
    <w:r w:rsidR="000D08B9">
      <w:rPr>
        <w:sz w:val="16"/>
      </w:rPr>
      <w:t>ber</w:t>
    </w:r>
    <w:r w:rsidR="00531D04">
      <w:rPr>
        <w:sz w:val="16"/>
      </w:rPr>
      <w:t xml:space="preserve"> </w:t>
    </w:r>
    <w:r w:rsidR="00531D04" w:rsidRPr="0053099D">
      <w:rPr>
        <w:sz w:val="16"/>
      </w:rPr>
      <w:t>20</w:t>
    </w:r>
    <w:r w:rsidR="001859A9">
      <w:rPr>
        <w:sz w:val="16"/>
      </w:rPr>
      <w:t>20</w:t>
    </w:r>
  </w:p>
  <w:p w14:paraId="5C2213A4" w14:textId="53A50A43" w:rsidR="00531D04" w:rsidRDefault="00531D04" w:rsidP="009E2C94">
    <w:pPr>
      <w:pStyle w:val="Footer"/>
      <w:jc w:val="right"/>
    </w:pPr>
    <w:r>
      <w:rPr>
        <w:rStyle w:val="PageNumber"/>
        <w:color w:val="525D36"/>
        <w:sz w:val="30"/>
      </w:rPr>
      <w:fldChar w:fldCharType="begin"/>
    </w:r>
    <w:r>
      <w:rPr>
        <w:rStyle w:val="PageNumber"/>
        <w:rFonts w:ascii="Trebuchet MS" w:hAnsi="Trebuchet MS"/>
        <w:color w:val="525D36"/>
        <w:sz w:val="30"/>
      </w:rPr>
      <w:instrText xml:space="preserve">PAGE  </w:instrText>
    </w:r>
    <w:r>
      <w:rPr>
        <w:rStyle w:val="PageNumber"/>
        <w:color w:val="525D36"/>
        <w:sz w:val="30"/>
      </w:rPr>
      <w:fldChar w:fldCharType="separate"/>
    </w:r>
    <w:r w:rsidR="00944F7E">
      <w:rPr>
        <w:rStyle w:val="PageNumber"/>
        <w:rFonts w:ascii="Trebuchet MS" w:hAnsi="Trebuchet MS"/>
        <w:noProof/>
        <w:color w:val="525D36"/>
        <w:sz w:val="30"/>
      </w:rPr>
      <w:t>1</w:t>
    </w:r>
    <w:r>
      <w:rPr>
        <w:rStyle w:val="PageNumber"/>
        <w:color w:val="525D36"/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0F36D" w14:textId="77777777" w:rsidR="00D37898" w:rsidRDefault="00D37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B10E" w14:textId="77777777" w:rsidR="00531D04" w:rsidRDefault="00531D04">
      <w:r>
        <w:separator/>
      </w:r>
    </w:p>
  </w:footnote>
  <w:footnote w:type="continuationSeparator" w:id="0">
    <w:p w14:paraId="4707431E" w14:textId="77777777" w:rsidR="00531D04" w:rsidRDefault="00531D04">
      <w:r>
        <w:continuationSeparator/>
      </w:r>
    </w:p>
  </w:footnote>
  <w:footnote w:type="continuationNotice" w:id="1">
    <w:p w14:paraId="1F499303" w14:textId="77777777" w:rsidR="00531D04" w:rsidRDefault="00531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28B0" w14:textId="77777777" w:rsidR="00D37898" w:rsidRDefault="00D37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CD97" w14:textId="36BF8F09" w:rsidR="00531D04" w:rsidRPr="00084FA0" w:rsidRDefault="00944F7E" w:rsidP="00084FA0">
    <w:pPr>
      <w:pStyle w:val="Header"/>
      <w:ind w:left="-1134" w:hanging="567"/>
    </w:pPr>
    <w:r>
      <w:rPr>
        <w:noProof/>
      </w:rPr>
      <w:pict w14:anchorId="47B6469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0" type="#_x0000_t202" style="position:absolute;left:0;text-align:left;margin-left:281.85pt;margin-top:-.6pt;width:164.1pt;height:78.9pt;z-index:251658241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filled="f" stroked="f">
          <v:textbox>
            <w:txbxContent>
              <w:p w14:paraId="33DB3B6F" w14:textId="77777777" w:rsidR="00531D04" w:rsidRPr="00041A33" w:rsidRDefault="00531D04" w:rsidP="00041A33">
                <w:pPr>
                  <w:jc w:val="right"/>
                  <w:rPr>
                    <w:b/>
                    <w:color w:val="FFFFFF"/>
                  </w:rPr>
                </w:pPr>
              </w:p>
              <w:p w14:paraId="166F43DA" w14:textId="155D3587" w:rsidR="00531D04" w:rsidRPr="0053099D" w:rsidRDefault="00531D04" w:rsidP="00041A33">
                <w:pPr>
                  <w:jc w:val="right"/>
                  <w:rPr>
                    <w:b/>
                    <w:color w:val="FFFFFF"/>
                    <w:sz w:val="22"/>
                  </w:rPr>
                </w:pPr>
                <w:r w:rsidRPr="0053099D">
                  <w:rPr>
                    <w:b/>
                    <w:color w:val="FFFFFF"/>
                    <w:sz w:val="22"/>
                  </w:rPr>
                  <w:t>Western Australia</w:t>
                </w:r>
              </w:p>
              <w:p w14:paraId="395377F2" w14:textId="39DF4B33" w:rsidR="00531D04" w:rsidRPr="0053099D" w:rsidRDefault="00531D04" w:rsidP="00041A33">
                <w:pPr>
                  <w:jc w:val="right"/>
                  <w:rPr>
                    <w:b/>
                    <w:color w:val="FFFFFF"/>
                    <w:sz w:val="22"/>
                  </w:rPr>
                </w:pPr>
                <w:r w:rsidRPr="0053099D">
                  <w:rPr>
                    <w:b/>
                    <w:color w:val="FFFFFF"/>
                    <w:sz w:val="22"/>
                  </w:rPr>
                  <w:t>Iron Ore Profile</w:t>
                </w:r>
              </w:p>
              <w:p w14:paraId="4654C0BD" w14:textId="08FE31C9" w:rsidR="00531D04" w:rsidRPr="0053099D" w:rsidRDefault="007E1B70" w:rsidP="00041A33">
                <w:pPr>
                  <w:jc w:val="right"/>
                  <w:rPr>
                    <w:color w:val="FFFFFF"/>
                    <w:sz w:val="22"/>
                  </w:rPr>
                </w:pPr>
                <w:r>
                  <w:rPr>
                    <w:color w:val="FFFFFF"/>
                    <w:sz w:val="22"/>
                  </w:rPr>
                  <w:t>Octo</w:t>
                </w:r>
                <w:r w:rsidR="000D08B9">
                  <w:rPr>
                    <w:color w:val="FFFFFF"/>
                    <w:sz w:val="22"/>
                  </w:rPr>
                  <w:t>ber</w:t>
                </w:r>
                <w:r w:rsidR="00EF6CA2">
                  <w:rPr>
                    <w:color w:val="FFFFFF"/>
                    <w:sz w:val="22"/>
                  </w:rPr>
                  <w:t xml:space="preserve"> </w:t>
                </w:r>
                <w:r w:rsidR="00531D04" w:rsidRPr="0053099D">
                  <w:rPr>
                    <w:color w:val="FFFFFF"/>
                    <w:sz w:val="22"/>
                  </w:rPr>
                  <w:t>20</w:t>
                </w:r>
                <w:r w:rsidR="001859A9">
                  <w:rPr>
                    <w:color w:val="FFFFFF"/>
                    <w:sz w:val="22"/>
                  </w:rPr>
                  <w:t>20</w:t>
                </w:r>
              </w:p>
            </w:txbxContent>
          </v:textbox>
          <w10:wrap type="square"/>
        </v:shape>
      </w:pict>
    </w:r>
    <w:r>
      <w:pict w14:anchorId="0E231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534pt;height:85.65pt">
          <v:imagedata r:id="rId1" o:title="Header graphic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2BD39" w14:textId="77777777" w:rsidR="00D37898" w:rsidRDefault="00D37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D2A9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AE5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A4BB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601C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10E7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DE9A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FABF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28D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F89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C98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854AA"/>
    <w:multiLevelType w:val="hybridMultilevel"/>
    <w:tmpl w:val="8C2633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C701CF"/>
    <w:multiLevelType w:val="hybridMultilevel"/>
    <w:tmpl w:val="D766236E"/>
    <w:lvl w:ilvl="0" w:tplc="2B469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9F7E3DF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2969B8"/>
    <w:multiLevelType w:val="hybridMultilevel"/>
    <w:tmpl w:val="263E92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20423"/>
    <w:multiLevelType w:val="hybridMultilevel"/>
    <w:tmpl w:val="B36E15FE"/>
    <w:lvl w:ilvl="0" w:tplc="9F7E3DF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9F7E3DF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4D39CD"/>
    <w:multiLevelType w:val="hybridMultilevel"/>
    <w:tmpl w:val="49C44AF0"/>
    <w:lvl w:ilvl="0" w:tplc="B386A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F4E88"/>
    <w:multiLevelType w:val="hybridMultilevel"/>
    <w:tmpl w:val="B8A2B8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72956"/>
    <w:multiLevelType w:val="hybridMultilevel"/>
    <w:tmpl w:val="1C565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B596C"/>
    <w:multiLevelType w:val="hybridMultilevel"/>
    <w:tmpl w:val="9D9612E8"/>
    <w:lvl w:ilvl="0" w:tplc="3AF8AF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C5AEB"/>
    <w:multiLevelType w:val="hybridMultilevel"/>
    <w:tmpl w:val="5358A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76D6E"/>
    <w:multiLevelType w:val="hybridMultilevel"/>
    <w:tmpl w:val="9842C8A0"/>
    <w:lvl w:ilvl="0" w:tplc="845AEA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91E6A"/>
    <w:multiLevelType w:val="hybridMultilevel"/>
    <w:tmpl w:val="25548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16"/>
  </w:num>
  <w:num w:numId="15">
    <w:abstractNumId w:val="12"/>
  </w:num>
  <w:num w:numId="16">
    <w:abstractNumId w:val="20"/>
  </w:num>
  <w:num w:numId="17">
    <w:abstractNumId w:val="10"/>
  </w:num>
  <w:num w:numId="18">
    <w:abstractNumId w:val="18"/>
  </w:num>
  <w:num w:numId="19">
    <w:abstractNumId w:val="17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5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323"/>
    <w:rsid w:val="00000332"/>
    <w:rsid w:val="00000A91"/>
    <w:rsid w:val="00001A74"/>
    <w:rsid w:val="00003623"/>
    <w:rsid w:val="0000526E"/>
    <w:rsid w:val="000056FA"/>
    <w:rsid w:val="000067EB"/>
    <w:rsid w:val="00006FD0"/>
    <w:rsid w:val="00007A9B"/>
    <w:rsid w:val="00007E49"/>
    <w:rsid w:val="00010733"/>
    <w:rsid w:val="000113BC"/>
    <w:rsid w:val="000148ED"/>
    <w:rsid w:val="000164B3"/>
    <w:rsid w:val="00016EC6"/>
    <w:rsid w:val="0001730F"/>
    <w:rsid w:val="00020A31"/>
    <w:rsid w:val="000220E8"/>
    <w:rsid w:val="0002373B"/>
    <w:rsid w:val="00023788"/>
    <w:rsid w:val="00024E42"/>
    <w:rsid w:val="00033490"/>
    <w:rsid w:val="000351C7"/>
    <w:rsid w:val="00036B9D"/>
    <w:rsid w:val="0003729C"/>
    <w:rsid w:val="00041A33"/>
    <w:rsid w:val="00043CFC"/>
    <w:rsid w:val="000445BB"/>
    <w:rsid w:val="00044A8D"/>
    <w:rsid w:val="00044B9F"/>
    <w:rsid w:val="00044F3F"/>
    <w:rsid w:val="00045ECF"/>
    <w:rsid w:val="00051505"/>
    <w:rsid w:val="00053758"/>
    <w:rsid w:val="00054558"/>
    <w:rsid w:val="000548BC"/>
    <w:rsid w:val="00054AED"/>
    <w:rsid w:val="00054F37"/>
    <w:rsid w:val="0005512D"/>
    <w:rsid w:val="000561E2"/>
    <w:rsid w:val="00056DB9"/>
    <w:rsid w:val="00057CF7"/>
    <w:rsid w:val="00057DC2"/>
    <w:rsid w:val="0006045E"/>
    <w:rsid w:val="00060C66"/>
    <w:rsid w:val="00062B27"/>
    <w:rsid w:val="00062D81"/>
    <w:rsid w:val="00063EFE"/>
    <w:rsid w:val="0006430D"/>
    <w:rsid w:val="00065504"/>
    <w:rsid w:val="00065B70"/>
    <w:rsid w:val="00066359"/>
    <w:rsid w:val="0006667C"/>
    <w:rsid w:val="0007098A"/>
    <w:rsid w:val="00071BBB"/>
    <w:rsid w:val="00071D4A"/>
    <w:rsid w:val="000721F9"/>
    <w:rsid w:val="00072490"/>
    <w:rsid w:val="00074A4A"/>
    <w:rsid w:val="00075665"/>
    <w:rsid w:val="0007616C"/>
    <w:rsid w:val="00077B33"/>
    <w:rsid w:val="000827D1"/>
    <w:rsid w:val="00083269"/>
    <w:rsid w:val="000838B5"/>
    <w:rsid w:val="00084349"/>
    <w:rsid w:val="00084A2B"/>
    <w:rsid w:val="00084FA0"/>
    <w:rsid w:val="00085CF9"/>
    <w:rsid w:val="0008610B"/>
    <w:rsid w:val="0008680A"/>
    <w:rsid w:val="000908C0"/>
    <w:rsid w:val="00091F72"/>
    <w:rsid w:val="0009246E"/>
    <w:rsid w:val="000953BA"/>
    <w:rsid w:val="00096267"/>
    <w:rsid w:val="00097920"/>
    <w:rsid w:val="000A00D5"/>
    <w:rsid w:val="000A0798"/>
    <w:rsid w:val="000A143E"/>
    <w:rsid w:val="000A2C61"/>
    <w:rsid w:val="000A3244"/>
    <w:rsid w:val="000A4319"/>
    <w:rsid w:val="000A487B"/>
    <w:rsid w:val="000A5D2B"/>
    <w:rsid w:val="000A6F91"/>
    <w:rsid w:val="000B0014"/>
    <w:rsid w:val="000B2E31"/>
    <w:rsid w:val="000B3E01"/>
    <w:rsid w:val="000B4E37"/>
    <w:rsid w:val="000B7154"/>
    <w:rsid w:val="000C4669"/>
    <w:rsid w:val="000C49DD"/>
    <w:rsid w:val="000C60DD"/>
    <w:rsid w:val="000C61E1"/>
    <w:rsid w:val="000C671A"/>
    <w:rsid w:val="000D0864"/>
    <w:rsid w:val="000D08B9"/>
    <w:rsid w:val="000D0F8C"/>
    <w:rsid w:val="000D7185"/>
    <w:rsid w:val="000E14E3"/>
    <w:rsid w:val="000E2A04"/>
    <w:rsid w:val="000E2BDF"/>
    <w:rsid w:val="000E56E4"/>
    <w:rsid w:val="000E61D6"/>
    <w:rsid w:val="000E64D3"/>
    <w:rsid w:val="000F0882"/>
    <w:rsid w:val="000F1525"/>
    <w:rsid w:val="000F27B6"/>
    <w:rsid w:val="000F3246"/>
    <w:rsid w:val="000F417D"/>
    <w:rsid w:val="000F6CA6"/>
    <w:rsid w:val="000F6F77"/>
    <w:rsid w:val="00100E56"/>
    <w:rsid w:val="00101506"/>
    <w:rsid w:val="00101DC6"/>
    <w:rsid w:val="00101E52"/>
    <w:rsid w:val="0010318D"/>
    <w:rsid w:val="00103410"/>
    <w:rsid w:val="00105648"/>
    <w:rsid w:val="00105969"/>
    <w:rsid w:val="0011066B"/>
    <w:rsid w:val="00110A72"/>
    <w:rsid w:val="00111E4C"/>
    <w:rsid w:val="0011209F"/>
    <w:rsid w:val="00112321"/>
    <w:rsid w:val="00113D19"/>
    <w:rsid w:val="00114365"/>
    <w:rsid w:val="00114DCD"/>
    <w:rsid w:val="001167B2"/>
    <w:rsid w:val="00120FDB"/>
    <w:rsid w:val="00122C49"/>
    <w:rsid w:val="00123EF4"/>
    <w:rsid w:val="00125CEC"/>
    <w:rsid w:val="0012674D"/>
    <w:rsid w:val="001277D6"/>
    <w:rsid w:val="00130D72"/>
    <w:rsid w:val="0013265C"/>
    <w:rsid w:val="00134386"/>
    <w:rsid w:val="00134EE1"/>
    <w:rsid w:val="001351BE"/>
    <w:rsid w:val="0013640F"/>
    <w:rsid w:val="00136421"/>
    <w:rsid w:val="001368FD"/>
    <w:rsid w:val="00136F90"/>
    <w:rsid w:val="00137724"/>
    <w:rsid w:val="00137832"/>
    <w:rsid w:val="0013792B"/>
    <w:rsid w:val="00137EEF"/>
    <w:rsid w:val="0014051D"/>
    <w:rsid w:val="00141D09"/>
    <w:rsid w:val="00142B1C"/>
    <w:rsid w:val="001430F0"/>
    <w:rsid w:val="00143AC8"/>
    <w:rsid w:val="00143FDA"/>
    <w:rsid w:val="001445C3"/>
    <w:rsid w:val="0014719E"/>
    <w:rsid w:val="00147FA9"/>
    <w:rsid w:val="00150411"/>
    <w:rsid w:val="00150C61"/>
    <w:rsid w:val="00152FAF"/>
    <w:rsid w:val="0015595B"/>
    <w:rsid w:val="001560B8"/>
    <w:rsid w:val="00156119"/>
    <w:rsid w:val="00157CBD"/>
    <w:rsid w:val="0016015F"/>
    <w:rsid w:val="001608BF"/>
    <w:rsid w:val="00161303"/>
    <w:rsid w:val="001622EF"/>
    <w:rsid w:val="00162A26"/>
    <w:rsid w:val="001664FE"/>
    <w:rsid w:val="00167A26"/>
    <w:rsid w:val="00176A53"/>
    <w:rsid w:val="001818AC"/>
    <w:rsid w:val="0018240C"/>
    <w:rsid w:val="0018357B"/>
    <w:rsid w:val="001848E6"/>
    <w:rsid w:val="00184B85"/>
    <w:rsid w:val="00184D10"/>
    <w:rsid w:val="001859A9"/>
    <w:rsid w:val="00187C54"/>
    <w:rsid w:val="00190896"/>
    <w:rsid w:val="00191182"/>
    <w:rsid w:val="00191977"/>
    <w:rsid w:val="0019250B"/>
    <w:rsid w:val="0019275B"/>
    <w:rsid w:val="001950BD"/>
    <w:rsid w:val="00195641"/>
    <w:rsid w:val="00195914"/>
    <w:rsid w:val="0019597F"/>
    <w:rsid w:val="00195EE7"/>
    <w:rsid w:val="001A0074"/>
    <w:rsid w:val="001A06B2"/>
    <w:rsid w:val="001A424F"/>
    <w:rsid w:val="001A45E0"/>
    <w:rsid w:val="001A4862"/>
    <w:rsid w:val="001A66A4"/>
    <w:rsid w:val="001B04D4"/>
    <w:rsid w:val="001C00DF"/>
    <w:rsid w:val="001C203B"/>
    <w:rsid w:val="001C5F4F"/>
    <w:rsid w:val="001C7611"/>
    <w:rsid w:val="001C7637"/>
    <w:rsid w:val="001D398E"/>
    <w:rsid w:val="001D4140"/>
    <w:rsid w:val="001D561D"/>
    <w:rsid w:val="001D6B53"/>
    <w:rsid w:val="001E1580"/>
    <w:rsid w:val="001E1D16"/>
    <w:rsid w:val="001E4612"/>
    <w:rsid w:val="001E4949"/>
    <w:rsid w:val="001E5105"/>
    <w:rsid w:val="001E6EFE"/>
    <w:rsid w:val="001E7C8A"/>
    <w:rsid w:val="001F01B4"/>
    <w:rsid w:val="001F04E2"/>
    <w:rsid w:val="001F051F"/>
    <w:rsid w:val="001F26D3"/>
    <w:rsid w:val="001F3506"/>
    <w:rsid w:val="001F4270"/>
    <w:rsid w:val="002011E4"/>
    <w:rsid w:val="00201F04"/>
    <w:rsid w:val="0020265B"/>
    <w:rsid w:val="00202A34"/>
    <w:rsid w:val="00202C4B"/>
    <w:rsid w:val="00204F5F"/>
    <w:rsid w:val="002053EB"/>
    <w:rsid w:val="0020676B"/>
    <w:rsid w:val="0020708A"/>
    <w:rsid w:val="00210D59"/>
    <w:rsid w:val="002113A7"/>
    <w:rsid w:val="00211C0A"/>
    <w:rsid w:val="0021274F"/>
    <w:rsid w:val="00213B45"/>
    <w:rsid w:val="00214089"/>
    <w:rsid w:val="00214AE9"/>
    <w:rsid w:val="00215671"/>
    <w:rsid w:val="00220A6D"/>
    <w:rsid w:val="002219C9"/>
    <w:rsid w:val="00221F2F"/>
    <w:rsid w:val="002225C9"/>
    <w:rsid w:val="002249C4"/>
    <w:rsid w:val="00224CA2"/>
    <w:rsid w:val="00225A57"/>
    <w:rsid w:val="00226166"/>
    <w:rsid w:val="00226535"/>
    <w:rsid w:val="00226FB8"/>
    <w:rsid w:val="0022792C"/>
    <w:rsid w:val="00227D7A"/>
    <w:rsid w:val="00230D12"/>
    <w:rsid w:val="002313B1"/>
    <w:rsid w:val="00231B8D"/>
    <w:rsid w:val="00232002"/>
    <w:rsid w:val="00233729"/>
    <w:rsid w:val="002347E5"/>
    <w:rsid w:val="00235AB6"/>
    <w:rsid w:val="00235DC1"/>
    <w:rsid w:val="002368FE"/>
    <w:rsid w:val="00236BAF"/>
    <w:rsid w:val="00237993"/>
    <w:rsid w:val="00237A8B"/>
    <w:rsid w:val="00240152"/>
    <w:rsid w:val="00240520"/>
    <w:rsid w:val="002410C3"/>
    <w:rsid w:val="002411EC"/>
    <w:rsid w:val="0024139D"/>
    <w:rsid w:val="00242064"/>
    <w:rsid w:val="00242291"/>
    <w:rsid w:val="002423AC"/>
    <w:rsid w:val="00244DA1"/>
    <w:rsid w:val="0024757D"/>
    <w:rsid w:val="00247F7C"/>
    <w:rsid w:val="00247FB6"/>
    <w:rsid w:val="002510AC"/>
    <w:rsid w:val="00253B05"/>
    <w:rsid w:val="0025460A"/>
    <w:rsid w:val="00255B93"/>
    <w:rsid w:val="00255D48"/>
    <w:rsid w:val="002563CA"/>
    <w:rsid w:val="002565AE"/>
    <w:rsid w:val="002570A1"/>
    <w:rsid w:val="002571B3"/>
    <w:rsid w:val="0025738B"/>
    <w:rsid w:val="00262855"/>
    <w:rsid w:val="002641CA"/>
    <w:rsid w:val="00265105"/>
    <w:rsid w:val="00265924"/>
    <w:rsid w:val="00265A5C"/>
    <w:rsid w:val="002675EF"/>
    <w:rsid w:val="00270EAB"/>
    <w:rsid w:val="00271838"/>
    <w:rsid w:val="00273589"/>
    <w:rsid w:val="00273CE7"/>
    <w:rsid w:val="0027402E"/>
    <w:rsid w:val="00274300"/>
    <w:rsid w:val="00275554"/>
    <w:rsid w:val="00275C31"/>
    <w:rsid w:val="00275C38"/>
    <w:rsid w:val="002766F6"/>
    <w:rsid w:val="002770DA"/>
    <w:rsid w:val="002774D7"/>
    <w:rsid w:val="0028210C"/>
    <w:rsid w:val="00286E26"/>
    <w:rsid w:val="002903A4"/>
    <w:rsid w:val="002915A3"/>
    <w:rsid w:val="00292A9C"/>
    <w:rsid w:val="002939AF"/>
    <w:rsid w:val="00295353"/>
    <w:rsid w:val="00296092"/>
    <w:rsid w:val="002961E8"/>
    <w:rsid w:val="002972F0"/>
    <w:rsid w:val="0029731F"/>
    <w:rsid w:val="002973B5"/>
    <w:rsid w:val="002A2190"/>
    <w:rsid w:val="002A44D9"/>
    <w:rsid w:val="002A787A"/>
    <w:rsid w:val="002B024C"/>
    <w:rsid w:val="002B3803"/>
    <w:rsid w:val="002B4722"/>
    <w:rsid w:val="002B4BB9"/>
    <w:rsid w:val="002B5899"/>
    <w:rsid w:val="002B5CA9"/>
    <w:rsid w:val="002B7A67"/>
    <w:rsid w:val="002B7BEB"/>
    <w:rsid w:val="002C0E79"/>
    <w:rsid w:val="002C244C"/>
    <w:rsid w:val="002C308D"/>
    <w:rsid w:val="002C55C8"/>
    <w:rsid w:val="002C7FC4"/>
    <w:rsid w:val="002D0FB7"/>
    <w:rsid w:val="002D39FC"/>
    <w:rsid w:val="002D6313"/>
    <w:rsid w:val="002E08D1"/>
    <w:rsid w:val="002E162B"/>
    <w:rsid w:val="002E25C7"/>
    <w:rsid w:val="002E367F"/>
    <w:rsid w:val="002E3BF9"/>
    <w:rsid w:val="002E4EEC"/>
    <w:rsid w:val="002E546F"/>
    <w:rsid w:val="002E678E"/>
    <w:rsid w:val="002E6D4B"/>
    <w:rsid w:val="002F06DB"/>
    <w:rsid w:val="002F2781"/>
    <w:rsid w:val="002F2B22"/>
    <w:rsid w:val="002F2E92"/>
    <w:rsid w:val="002F329C"/>
    <w:rsid w:val="002F5ACE"/>
    <w:rsid w:val="002F627F"/>
    <w:rsid w:val="003008CF"/>
    <w:rsid w:val="00300E00"/>
    <w:rsid w:val="00303D2D"/>
    <w:rsid w:val="00304E19"/>
    <w:rsid w:val="003061B7"/>
    <w:rsid w:val="0030630B"/>
    <w:rsid w:val="00310067"/>
    <w:rsid w:val="003149D1"/>
    <w:rsid w:val="00314C69"/>
    <w:rsid w:val="00315228"/>
    <w:rsid w:val="0031581D"/>
    <w:rsid w:val="00315B5E"/>
    <w:rsid w:val="00317E4D"/>
    <w:rsid w:val="003203BD"/>
    <w:rsid w:val="003204AD"/>
    <w:rsid w:val="00320E97"/>
    <w:rsid w:val="003213EB"/>
    <w:rsid w:val="00322C4C"/>
    <w:rsid w:val="00322C8A"/>
    <w:rsid w:val="00326E77"/>
    <w:rsid w:val="00327EBC"/>
    <w:rsid w:val="003300E5"/>
    <w:rsid w:val="00330856"/>
    <w:rsid w:val="00331BB3"/>
    <w:rsid w:val="0033235B"/>
    <w:rsid w:val="00333BB6"/>
    <w:rsid w:val="003364EE"/>
    <w:rsid w:val="003368AD"/>
    <w:rsid w:val="00336AFD"/>
    <w:rsid w:val="00336FFA"/>
    <w:rsid w:val="00337287"/>
    <w:rsid w:val="0033740A"/>
    <w:rsid w:val="003402EE"/>
    <w:rsid w:val="00340922"/>
    <w:rsid w:val="00340B42"/>
    <w:rsid w:val="00340F1F"/>
    <w:rsid w:val="003410DA"/>
    <w:rsid w:val="003435B7"/>
    <w:rsid w:val="003440D5"/>
    <w:rsid w:val="003448D1"/>
    <w:rsid w:val="003501A2"/>
    <w:rsid w:val="00350623"/>
    <w:rsid w:val="00351790"/>
    <w:rsid w:val="00351E6B"/>
    <w:rsid w:val="00353E52"/>
    <w:rsid w:val="00354585"/>
    <w:rsid w:val="00354B7A"/>
    <w:rsid w:val="003571A2"/>
    <w:rsid w:val="003578E3"/>
    <w:rsid w:val="003578E4"/>
    <w:rsid w:val="0036012F"/>
    <w:rsid w:val="00363092"/>
    <w:rsid w:val="00364282"/>
    <w:rsid w:val="00366942"/>
    <w:rsid w:val="00367300"/>
    <w:rsid w:val="003716A5"/>
    <w:rsid w:val="003729C5"/>
    <w:rsid w:val="00373059"/>
    <w:rsid w:val="0037463D"/>
    <w:rsid w:val="003758C4"/>
    <w:rsid w:val="00377427"/>
    <w:rsid w:val="00377EEB"/>
    <w:rsid w:val="00381208"/>
    <w:rsid w:val="00381639"/>
    <w:rsid w:val="003817A9"/>
    <w:rsid w:val="00383805"/>
    <w:rsid w:val="003846B1"/>
    <w:rsid w:val="00385D72"/>
    <w:rsid w:val="00386371"/>
    <w:rsid w:val="00387460"/>
    <w:rsid w:val="00387505"/>
    <w:rsid w:val="003906B1"/>
    <w:rsid w:val="00391CE7"/>
    <w:rsid w:val="00392454"/>
    <w:rsid w:val="0039264D"/>
    <w:rsid w:val="00392665"/>
    <w:rsid w:val="003936F6"/>
    <w:rsid w:val="003949C7"/>
    <w:rsid w:val="00395F15"/>
    <w:rsid w:val="00396945"/>
    <w:rsid w:val="00396CE4"/>
    <w:rsid w:val="003A09CF"/>
    <w:rsid w:val="003A0FF7"/>
    <w:rsid w:val="003A2566"/>
    <w:rsid w:val="003A3EC5"/>
    <w:rsid w:val="003A479C"/>
    <w:rsid w:val="003A4A63"/>
    <w:rsid w:val="003A59C8"/>
    <w:rsid w:val="003A6ADB"/>
    <w:rsid w:val="003A70ED"/>
    <w:rsid w:val="003B06FE"/>
    <w:rsid w:val="003B285C"/>
    <w:rsid w:val="003B340C"/>
    <w:rsid w:val="003B3CDF"/>
    <w:rsid w:val="003B4798"/>
    <w:rsid w:val="003B4C3D"/>
    <w:rsid w:val="003C01EF"/>
    <w:rsid w:val="003C19BD"/>
    <w:rsid w:val="003C1E33"/>
    <w:rsid w:val="003C4622"/>
    <w:rsid w:val="003C512C"/>
    <w:rsid w:val="003C5D96"/>
    <w:rsid w:val="003C70C3"/>
    <w:rsid w:val="003D2682"/>
    <w:rsid w:val="003D2B06"/>
    <w:rsid w:val="003D2F49"/>
    <w:rsid w:val="003D4495"/>
    <w:rsid w:val="003D51B6"/>
    <w:rsid w:val="003D5275"/>
    <w:rsid w:val="003D76A6"/>
    <w:rsid w:val="003D76D4"/>
    <w:rsid w:val="003F1629"/>
    <w:rsid w:val="003F16D3"/>
    <w:rsid w:val="003F2A7A"/>
    <w:rsid w:val="003F60DC"/>
    <w:rsid w:val="003F6328"/>
    <w:rsid w:val="003F64CF"/>
    <w:rsid w:val="003F6CAB"/>
    <w:rsid w:val="003F7760"/>
    <w:rsid w:val="004017DB"/>
    <w:rsid w:val="00402272"/>
    <w:rsid w:val="00402EF0"/>
    <w:rsid w:val="0040380E"/>
    <w:rsid w:val="00403916"/>
    <w:rsid w:val="004062E5"/>
    <w:rsid w:val="00406996"/>
    <w:rsid w:val="00410CF7"/>
    <w:rsid w:val="0041106F"/>
    <w:rsid w:val="00413432"/>
    <w:rsid w:val="00415FA2"/>
    <w:rsid w:val="00416BE8"/>
    <w:rsid w:val="004179C7"/>
    <w:rsid w:val="00420F77"/>
    <w:rsid w:val="00421684"/>
    <w:rsid w:val="004218D0"/>
    <w:rsid w:val="00422A8A"/>
    <w:rsid w:val="00423CEA"/>
    <w:rsid w:val="00423ED9"/>
    <w:rsid w:val="00425BC4"/>
    <w:rsid w:val="004272E0"/>
    <w:rsid w:val="00430B7A"/>
    <w:rsid w:val="00430C8B"/>
    <w:rsid w:val="00431600"/>
    <w:rsid w:val="0043472F"/>
    <w:rsid w:val="0043485B"/>
    <w:rsid w:val="00435532"/>
    <w:rsid w:val="0043575E"/>
    <w:rsid w:val="004366EB"/>
    <w:rsid w:val="00437F37"/>
    <w:rsid w:val="0044660C"/>
    <w:rsid w:val="00446B4D"/>
    <w:rsid w:val="00446F49"/>
    <w:rsid w:val="00447822"/>
    <w:rsid w:val="00452361"/>
    <w:rsid w:val="004526BE"/>
    <w:rsid w:val="00452A41"/>
    <w:rsid w:val="00453AB6"/>
    <w:rsid w:val="00454B08"/>
    <w:rsid w:val="00455C40"/>
    <w:rsid w:val="00456BC4"/>
    <w:rsid w:val="0045714B"/>
    <w:rsid w:val="00457991"/>
    <w:rsid w:val="00457DCF"/>
    <w:rsid w:val="00461267"/>
    <w:rsid w:val="00462665"/>
    <w:rsid w:val="00463626"/>
    <w:rsid w:val="004662AA"/>
    <w:rsid w:val="004669B9"/>
    <w:rsid w:val="00467AA7"/>
    <w:rsid w:val="00467B59"/>
    <w:rsid w:val="00467DE3"/>
    <w:rsid w:val="0047053A"/>
    <w:rsid w:val="004713E8"/>
    <w:rsid w:val="004715FF"/>
    <w:rsid w:val="004733F3"/>
    <w:rsid w:val="00473B2A"/>
    <w:rsid w:val="00473C6C"/>
    <w:rsid w:val="00474588"/>
    <w:rsid w:val="00476CCD"/>
    <w:rsid w:val="004801DC"/>
    <w:rsid w:val="0048146D"/>
    <w:rsid w:val="00485AAD"/>
    <w:rsid w:val="00485FA4"/>
    <w:rsid w:val="00486600"/>
    <w:rsid w:val="00487BCA"/>
    <w:rsid w:val="004916E9"/>
    <w:rsid w:val="004955BA"/>
    <w:rsid w:val="004A0559"/>
    <w:rsid w:val="004A05F4"/>
    <w:rsid w:val="004A17AA"/>
    <w:rsid w:val="004A1E29"/>
    <w:rsid w:val="004A2DE9"/>
    <w:rsid w:val="004A2FB7"/>
    <w:rsid w:val="004A5400"/>
    <w:rsid w:val="004A67D6"/>
    <w:rsid w:val="004B0EAB"/>
    <w:rsid w:val="004B1198"/>
    <w:rsid w:val="004B3127"/>
    <w:rsid w:val="004B38E4"/>
    <w:rsid w:val="004B4AD8"/>
    <w:rsid w:val="004B4FBC"/>
    <w:rsid w:val="004B504C"/>
    <w:rsid w:val="004B5257"/>
    <w:rsid w:val="004B5CA6"/>
    <w:rsid w:val="004B6408"/>
    <w:rsid w:val="004B75C5"/>
    <w:rsid w:val="004C0D21"/>
    <w:rsid w:val="004C58C1"/>
    <w:rsid w:val="004C666A"/>
    <w:rsid w:val="004C74FA"/>
    <w:rsid w:val="004D1022"/>
    <w:rsid w:val="004D113B"/>
    <w:rsid w:val="004D15A0"/>
    <w:rsid w:val="004D1BFF"/>
    <w:rsid w:val="004D1DE1"/>
    <w:rsid w:val="004D1EA3"/>
    <w:rsid w:val="004D1FB5"/>
    <w:rsid w:val="004D20D6"/>
    <w:rsid w:val="004D272F"/>
    <w:rsid w:val="004D2986"/>
    <w:rsid w:val="004D3270"/>
    <w:rsid w:val="004D432D"/>
    <w:rsid w:val="004D5E97"/>
    <w:rsid w:val="004D639F"/>
    <w:rsid w:val="004D685C"/>
    <w:rsid w:val="004E0038"/>
    <w:rsid w:val="004E080A"/>
    <w:rsid w:val="004E0B47"/>
    <w:rsid w:val="004E11F6"/>
    <w:rsid w:val="004E16EB"/>
    <w:rsid w:val="004E5268"/>
    <w:rsid w:val="004E67D9"/>
    <w:rsid w:val="004E77BF"/>
    <w:rsid w:val="004E7DCD"/>
    <w:rsid w:val="004F0CFC"/>
    <w:rsid w:val="004F0F5A"/>
    <w:rsid w:val="004F1395"/>
    <w:rsid w:val="004F1EA6"/>
    <w:rsid w:val="004F20DB"/>
    <w:rsid w:val="004F2E9F"/>
    <w:rsid w:val="004F49CC"/>
    <w:rsid w:val="004F5E9D"/>
    <w:rsid w:val="004F5F3B"/>
    <w:rsid w:val="004F6DF8"/>
    <w:rsid w:val="00500B90"/>
    <w:rsid w:val="00500BCD"/>
    <w:rsid w:val="005012A9"/>
    <w:rsid w:val="00503124"/>
    <w:rsid w:val="00503826"/>
    <w:rsid w:val="00506443"/>
    <w:rsid w:val="005070BA"/>
    <w:rsid w:val="0051034A"/>
    <w:rsid w:val="00511308"/>
    <w:rsid w:val="00511F96"/>
    <w:rsid w:val="0051213C"/>
    <w:rsid w:val="00513740"/>
    <w:rsid w:val="00513B83"/>
    <w:rsid w:val="00513EAC"/>
    <w:rsid w:val="00515A17"/>
    <w:rsid w:val="00515CC0"/>
    <w:rsid w:val="00517E3D"/>
    <w:rsid w:val="00520AA4"/>
    <w:rsid w:val="0052250A"/>
    <w:rsid w:val="00523AF6"/>
    <w:rsid w:val="00526159"/>
    <w:rsid w:val="00526C12"/>
    <w:rsid w:val="00526E70"/>
    <w:rsid w:val="005274B0"/>
    <w:rsid w:val="00530847"/>
    <w:rsid w:val="0053099D"/>
    <w:rsid w:val="00531851"/>
    <w:rsid w:val="00531D04"/>
    <w:rsid w:val="00531DEC"/>
    <w:rsid w:val="00531FE1"/>
    <w:rsid w:val="00533428"/>
    <w:rsid w:val="005341ED"/>
    <w:rsid w:val="005343B4"/>
    <w:rsid w:val="00534820"/>
    <w:rsid w:val="00535BF9"/>
    <w:rsid w:val="00535E17"/>
    <w:rsid w:val="0053614B"/>
    <w:rsid w:val="00541B7C"/>
    <w:rsid w:val="00543FF4"/>
    <w:rsid w:val="005440D4"/>
    <w:rsid w:val="00544BA1"/>
    <w:rsid w:val="0054557D"/>
    <w:rsid w:val="00546A10"/>
    <w:rsid w:val="00546ED4"/>
    <w:rsid w:val="005506A1"/>
    <w:rsid w:val="005510E3"/>
    <w:rsid w:val="0055239F"/>
    <w:rsid w:val="00552D98"/>
    <w:rsid w:val="005537A1"/>
    <w:rsid w:val="00554652"/>
    <w:rsid w:val="005548CA"/>
    <w:rsid w:val="00555736"/>
    <w:rsid w:val="00556D68"/>
    <w:rsid w:val="005576AA"/>
    <w:rsid w:val="00562B46"/>
    <w:rsid w:val="00563697"/>
    <w:rsid w:val="00563C55"/>
    <w:rsid w:val="00564365"/>
    <w:rsid w:val="00564504"/>
    <w:rsid w:val="00564C04"/>
    <w:rsid w:val="00565648"/>
    <w:rsid w:val="005661B6"/>
    <w:rsid w:val="00566A10"/>
    <w:rsid w:val="00567085"/>
    <w:rsid w:val="005701C4"/>
    <w:rsid w:val="0057165C"/>
    <w:rsid w:val="0057191E"/>
    <w:rsid w:val="00571E5D"/>
    <w:rsid w:val="0057287F"/>
    <w:rsid w:val="00574372"/>
    <w:rsid w:val="005777AB"/>
    <w:rsid w:val="0058000F"/>
    <w:rsid w:val="00580D1A"/>
    <w:rsid w:val="00583806"/>
    <w:rsid w:val="00583B1D"/>
    <w:rsid w:val="00584254"/>
    <w:rsid w:val="00586268"/>
    <w:rsid w:val="00586BC3"/>
    <w:rsid w:val="00586EAA"/>
    <w:rsid w:val="00590FB6"/>
    <w:rsid w:val="00591890"/>
    <w:rsid w:val="00591B37"/>
    <w:rsid w:val="00592201"/>
    <w:rsid w:val="00593D5C"/>
    <w:rsid w:val="00593DD1"/>
    <w:rsid w:val="005977A5"/>
    <w:rsid w:val="00597EEA"/>
    <w:rsid w:val="005A09FD"/>
    <w:rsid w:val="005A6B10"/>
    <w:rsid w:val="005B0075"/>
    <w:rsid w:val="005B1425"/>
    <w:rsid w:val="005B1453"/>
    <w:rsid w:val="005B1ABA"/>
    <w:rsid w:val="005B2C9C"/>
    <w:rsid w:val="005B2D45"/>
    <w:rsid w:val="005B2FF5"/>
    <w:rsid w:val="005B3A46"/>
    <w:rsid w:val="005B4C18"/>
    <w:rsid w:val="005B5426"/>
    <w:rsid w:val="005B68AC"/>
    <w:rsid w:val="005C0943"/>
    <w:rsid w:val="005C0A48"/>
    <w:rsid w:val="005C121F"/>
    <w:rsid w:val="005C19B1"/>
    <w:rsid w:val="005C4B3E"/>
    <w:rsid w:val="005C720D"/>
    <w:rsid w:val="005C7E1E"/>
    <w:rsid w:val="005C7EBB"/>
    <w:rsid w:val="005D1313"/>
    <w:rsid w:val="005D2D4C"/>
    <w:rsid w:val="005D3B35"/>
    <w:rsid w:val="005D3D69"/>
    <w:rsid w:val="005E0440"/>
    <w:rsid w:val="005E1321"/>
    <w:rsid w:val="005E23E3"/>
    <w:rsid w:val="005E793A"/>
    <w:rsid w:val="005E7B72"/>
    <w:rsid w:val="005E7CDB"/>
    <w:rsid w:val="005F35F7"/>
    <w:rsid w:val="005F5D0D"/>
    <w:rsid w:val="005F63B7"/>
    <w:rsid w:val="005F7EA8"/>
    <w:rsid w:val="0060403F"/>
    <w:rsid w:val="00607F76"/>
    <w:rsid w:val="0061358F"/>
    <w:rsid w:val="00613EFB"/>
    <w:rsid w:val="006148BB"/>
    <w:rsid w:val="00614ACA"/>
    <w:rsid w:val="00615DCB"/>
    <w:rsid w:val="00616587"/>
    <w:rsid w:val="00620297"/>
    <w:rsid w:val="00622443"/>
    <w:rsid w:val="00622CA0"/>
    <w:rsid w:val="006236CC"/>
    <w:rsid w:val="00625A23"/>
    <w:rsid w:val="00625CF8"/>
    <w:rsid w:val="006265F5"/>
    <w:rsid w:val="00626885"/>
    <w:rsid w:val="00626B8F"/>
    <w:rsid w:val="006277E2"/>
    <w:rsid w:val="006278DB"/>
    <w:rsid w:val="006279BB"/>
    <w:rsid w:val="00631244"/>
    <w:rsid w:val="00634CBB"/>
    <w:rsid w:val="00635697"/>
    <w:rsid w:val="00635E31"/>
    <w:rsid w:val="0063711E"/>
    <w:rsid w:val="00637E8D"/>
    <w:rsid w:val="0064056B"/>
    <w:rsid w:val="00640765"/>
    <w:rsid w:val="00643ECB"/>
    <w:rsid w:val="00646129"/>
    <w:rsid w:val="006469E1"/>
    <w:rsid w:val="00646DA9"/>
    <w:rsid w:val="006470C8"/>
    <w:rsid w:val="00647888"/>
    <w:rsid w:val="006506B2"/>
    <w:rsid w:val="0065160B"/>
    <w:rsid w:val="00652817"/>
    <w:rsid w:val="006542CD"/>
    <w:rsid w:val="00654CBC"/>
    <w:rsid w:val="0065645F"/>
    <w:rsid w:val="00656631"/>
    <w:rsid w:val="00657C55"/>
    <w:rsid w:val="006618A5"/>
    <w:rsid w:val="006619C1"/>
    <w:rsid w:val="00661EC2"/>
    <w:rsid w:val="0066207C"/>
    <w:rsid w:val="0066246B"/>
    <w:rsid w:val="0066648E"/>
    <w:rsid w:val="00666799"/>
    <w:rsid w:val="0067005E"/>
    <w:rsid w:val="00672EC1"/>
    <w:rsid w:val="00673DB5"/>
    <w:rsid w:val="0067554D"/>
    <w:rsid w:val="0068087E"/>
    <w:rsid w:val="00681ADF"/>
    <w:rsid w:val="00682591"/>
    <w:rsid w:val="00683CA8"/>
    <w:rsid w:val="00683F8F"/>
    <w:rsid w:val="006843CB"/>
    <w:rsid w:val="00691837"/>
    <w:rsid w:val="00692AEF"/>
    <w:rsid w:val="006932B3"/>
    <w:rsid w:val="00693FC6"/>
    <w:rsid w:val="00695462"/>
    <w:rsid w:val="00696227"/>
    <w:rsid w:val="006A0A29"/>
    <w:rsid w:val="006A19C2"/>
    <w:rsid w:val="006A2F82"/>
    <w:rsid w:val="006A37C9"/>
    <w:rsid w:val="006A6DB5"/>
    <w:rsid w:val="006B09F6"/>
    <w:rsid w:val="006B0B45"/>
    <w:rsid w:val="006B2558"/>
    <w:rsid w:val="006B459D"/>
    <w:rsid w:val="006B4B4B"/>
    <w:rsid w:val="006B4DB4"/>
    <w:rsid w:val="006B4F8D"/>
    <w:rsid w:val="006B63A3"/>
    <w:rsid w:val="006B7DE1"/>
    <w:rsid w:val="006C1E1F"/>
    <w:rsid w:val="006C3F32"/>
    <w:rsid w:val="006C4137"/>
    <w:rsid w:val="006C54AE"/>
    <w:rsid w:val="006C5B8E"/>
    <w:rsid w:val="006C70EB"/>
    <w:rsid w:val="006D0B7C"/>
    <w:rsid w:val="006D124E"/>
    <w:rsid w:val="006D132F"/>
    <w:rsid w:val="006D1A42"/>
    <w:rsid w:val="006D2BA4"/>
    <w:rsid w:val="006D3653"/>
    <w:rsid w:val="006D37E0"/>
    <w:rsid w:val="006D3B0C"/>
    <w:rsid w:val="006D4375"/>
    <w:rsid w:val="006D48D4"/>
    <w:rsid w:val="006D5DE7"/>
    <w:rsid w:val="006D7102"/>
    <w:rsid w:val="006D7C89"/>
    <w:rsid w:val="006D7FCE"/>
    <w:rsid w:val="006E018B"/>
    <w:rsid w:val="006E0720"/>
    <w:rsid w:val="006E0F90"/>
    <w:rsid w:val="006E1193"/>
    <w:rsid w:val="006E3B7F"/>
    <w:rsid w:val="006E41EB"/>
    <w:rsid w:val="006E506C"/>
    <w:rsid w:val="006E5FC0"/>
    <w:rsid w:val="006E6A82"/>
    <w:rsid w:val="006F39D1"/>
    <w:rsid w:val="006F4BB5"/>
    <w:rsid w:val="006F6F11"/>
    <w:rsid w:val="0070088F"/>
    <w:rsid w:val="0070208A"/>
    <w:rsid w:val="00704FEF"/>
    <w:rsid w:val="007054C5"/>
    <w:rsid w:val="00705F08"/>
    <w:rsid w:val="00707012"/>
    <w:rsid w:val="007074C9"/>
    <w:rsid w:val="00712165"/>
    <w:rsid w:val="007126BA"/>
    <w:rsid w:val="007126F3"/>
    <w:rsid w:val="00712B8A"/>
    <w:rsid w:val="00713333"/>
    <w:rsid w:val="00713B04"/>
    <w:rsid w:val="0071468E"/>
    <w:rsid w:val="00716C71"/>
    <w:rsid w:val="007208D2"/>
    <w:rsid w:val="00720A7B"/>
    <w:rsid w:val="00721FDB"/>
    <w:rsid w:val="00722E2F"/>
    <w:rsid w:val="00725A81"/>
    <w:rsid w:val="00725FFD"/>
    <w:rsid w:val="0073014D"/>
    <w:rsid w:val="0073164E"/>
    <w:rsid w:val="0073298C"/>
    <w:rsid w:val="007337CA"/>
    <w:rsid w:val="00734047"/>
    <w:rsid w:val="00736075"/>
    <w:rsid w:val="007379F3"/>
    <w:rsid w:val="00737A0E"/>
    <w:rsid w:val="0074217D"/>
    <w:rsid w:val="00742581"/>
    <w:rsid w:val="00743712"/>
    <w:rsid w:val="0074484B"/>
    <w:rsid w:val="007462CC"/>
    <w:rsid w:val="007470DD"/>
    <w:rsid w:val="007509B6"/>
    <w:rsid w:val="00750EC0"/>
    <w:rsid w:val="00751BA3"/>
    <w:rsid w:val="007523C0"/>
    <w:rsid w:val="00753118"/>
    <w:rsid w:val="00753FF3"/>
    <w:rsid w:val="00754611"/>
    <w:rsid w:val="00754E44"/>
    <w:rsid w:val="0075617B"/>
    <w:rsid w:val="007563BE"/>
    <w:rsid w:val="00756C5F"/>
    <w:rsid w:val="007574DA"/>
    <w:rsid w:val="00757861"/>
    <w:rsid w:val="00757ADA"/>
    <w:rsid w:val="0076069C"/>
    <w:rsid w:val="00763EA8"/>
    <w:rsid w:val="007644EB"/>
    <w:rsid w:val="00766255"/>
    <w:rsid w:val="00766E32"/>
    <w:rsid w:val="0076748D"/>
    <w:rsid w:val="0076782B"/>
    <w:rsid w:val="007709C1"/>
    <w:rsid w:val="00772F3D"/>
    <w:rsid w:val="0077362A"/>
    <w:rsid w:val="00773B1A"/>
    <w:rsid w:val="00773CA6"/>
    <w:rsid w:val="0077446C"/>
    <w:rsid w:val="0077474A"/>
    <w:rsid w:val="00774767"/>
    <w:rsid w:val="0078176C"/>
    <w:rsid w:val="00781C7A"/>
    <w:rsid w:val="00782DC7"/>
    <w:rsid w:val="0078353A"/>
    <w:rsid w:val="00784712"/>
    <w:rsid w:val="00784FBD"/>
    <w:rsid w:val="007854F3"/>
    <w:rsid w:val="00791F4D"/>
    <w:rsid w:val="00792346"/>
    <w:rsid w:val="0079330A"/>
    <w:rsid w:val="00793651"/>
    <w:rsid w:val="007954AB"/>
    <w:rsid w:val="007964B5"/>
    <w:rsid w:val="0079759D"/>
    <w:rsid w:val="00797B7F"/>
    <w:rsid w:val="00797DDC"/>
    <w:rsid w:val="007A10AF"/>
    <w:rsid w:val="007A1B5D"/>
    <w:rsid w:val="007A1D83"/>
    <w:rsid w:val="007A2A90"/>
    <w:rsid w:val="007A46DB"/>
    <w:rsid w:val="007A4D02"/>
    <w:rsid w:val="007A53AA"/>
    <w:rsid w:val="007A674E"/>
    <w:rsid w:val="007A6C2E"/>
    <w:rsid w:val="007A78D8"/>
    <w:rsid w:val="007B2EE8"/>
    <w:rsid w:val="007B3DEF"/>
    <w:rsid w:val="007B4B4E"/>
    <w:rsid w:val="007B5037"/>
    <w:rsid w:val="007B57F6"/>
    <w:rsid w:val="007C024C"/>
    <w:rsid w:val="007C234F"/>
    <w:rsid w:val="007C2A9F"/>
    <w:rsid w:val="007C2E8A"/>
    <w:rsid w:val="007C4EA9"/>
    <w:rsid w:val="007C6036"/>
    <w:rsid w:val="007C60C3"/>
    <w:rsid w:val="007C63C8"/>
    <w:rsid w:val="007C7B18"/>
    <w:rsid w:val="007C7C0E"/>
    <w:rsid w:val="007C7FA8"/>
    <w:rsid w:val="007D12F2"/>
    <w:rsid w:val="007D1363"/>
    <w:rsid w:val="007D1939"/>
    <w:rsid w:val="007D3344"/>
    <w:rsid w:val="007D3695"/>
    <w:rsid w:val="007D4906"/>
    <w:rsid w:val="007D5BB4"/>
    <w:rsid w:val="007D6303"/>
    <w:rsid w:val="007D6373"/>
    <w:rsid w:val="007D738A"/>
    <w:rsid w:val="007D7911"/>
    <w:rsid w:val="007E0221"/>
    <w:rsid w:val="007E1B70"/>
    <w:rsid w:val="007E6F32"/>
    <w:rsid w:val="007F0DE0"/>
    <w:rsid w:val="007F33D7"/>
    <w:rsid w:val="007F44F5"/>
    <w:rsid w:val="007F48CB"/>
    <w:rsid w:val="007F6238"/>
    <w:rsid w:val="007F6306"/>
    <w:rsid w:val="007F6472"/>
    <w:rsid w:val="007F728F"/>
    <w:rsid w:val="007F75B6"/>
    <w:rsid w:val="007F7790"/>
    <w:rsid w:val="00800773"/>
    <w:rsid w:val="00800EC6"/>
    <w:rsid w:val="0080174E"/>
    <w:rsid w:val="008045AE"/>
    <w:rsid w:val="00804D3D"/>
    <w:rsid w:val="00805264"/>
    <w:rsid w:val="00805720"/>
    <w:rsid w:val="008066C3"/>
    <w:rsid w:val="008078D4"/>
    <w:rsid w:val="008078EB"/>
    <w:rsid w:val="00810B22"/>
    <w:rsid w:val="00813233"/>
    <w:rsid w:val="00815C7B"/>
    <w:rsid w:val="00815E8D"/>
    <w:rsid w:val="0081617D"/>
    <w:rsid w:val="00816198"/>
    <w:rsid w:val="008208CF"/>
    <w:rsid w:val="00820D04"/>
    <w:rsid w:val="00820FC2"/>
    <w:rsid w:val="008211B4"/>
    <w:rsid w:val="00821E74"/>
    <w:rsid w:val="00822339"/>
    <w:rsid w:val="00822D8C"/>
    <w:rsid w:val="00823B59"/>
    <w:rsid w:val="008246F1"/>
    <w:rsid w:val="00824A61"/>
    <w:rsid w:val="0082567D"/>
    <w:rsid w:val="0082590B"/>
    <w:rsid w:val="00827FF7"/>
    <w:rsid w:val="00830F61"/>
    <w:rsid w:val="00832256"/>
    <w:rsid w:val="00833B3E"/>
    <w:rsid w:val="0083480D"/>
    <w:rsid w:val="008348E0"/>
    <w:rsid w:val="0083697A"/>
    <w:rsid w:val="008369FC"/>
    <w:rsid w:val="00837910"/>
    <w:rsid w:val="00840034"/>
    <w:rsid w:val="00840C87"/>
    <w:rsid w:val="0084104E"/>
    <w:rsid w:val="0084496C"/>
    <w:rsid w:val="008454F0"/>
    <w:rsid w:val="00845924"/>
    <w:rsid w:val="00846023"/>
    <w:rsid w:val="008466A6"/>
    <w:rsid w:val="008466B5"/>
    <w:rsid w:val="008501D8"/>
    <w:rsid w:val="008517D3"/>
    <w:rsid w:val="008537B6"/>
    <w:rsid w:val="008537E7"/>
    <w:rsid w:val="008558D7"/>
    <w:rsid w:val="008577D9"/>
    <w:rsid w:val="00857EE8"/>
    <w:rsid w:val="0086075C"/>
    <w:rsid w:val="008612D5"/>
    <w:rsid w:val="00861BD3"/>
    <w:rsid w:val="00861CDE"/>
    <w:rsid w:val="008626D2"/>
    <w:rsid w:val="00862788"/>
    <w:rsid w:val="00863136"/>
    <w:rsid w:val="00863D93"/>
    <w:rsid w:val="00863DBD"/>
    <w:rsid w:val="008648C6"/>
    <w:rsid w:val="00864E96"/>
    <w:rsid w:val="0086620C"/>
    <w:rsid w:val="00870E7B"/>
    <w:rsid w:val="00871D03"/>
    <w:rsid w:val="008721E1"/>
    <w:rsid w:val="00872992"/>
    <w:rsid w:val="00872DAC"/>
    <w:rsid w:val="00872E29"/>
    <w:rsid w:val="00873373"/>
    <w:rsid w:val="008734DE"/>
    <w:rsid w:val="008734FF"/>
    <w:rsid w:val="00873D1B"/>
    <w:rsid w:val="00876130"/>
    <w:rsid w:val="0087643E"/>
    <w:rsid w:val="00876560"/>
    <w:rsid w:val="00876D34"/>
    <w:rsid w:val="00877C8F"/>
    <w:rsid w:val="00880708"/>
    <w:rsid w:val="008810DA"/>
    <w:rsid w:val="00881892"/>
    <w:rsid w:val="008840EE"/>
    <w:rsid w:val="00885768"/>
    <w:rsid w:val="00885EFA"/>
    <w:rsid w:val="00886B7A"/>
    <w:rsid w:val="0088747F"/>
    <w:rsid w:val="00887F27"/>
    <w:rsid w:val="008900B2"/>
    <w:rsid w:val="0089047C"/>
    <w:rsid w:val="00891D56"/>
    <w:rsid w:val="00892396"/>
    <w:rsid w:val="008927F3"/>
    <w:rsid w:val="00893053"/>
    <w:rsid w:val="008941C9"/>
    <w:rsid w:val="00895B93"/>
    <w:rsid w:val="008A066F"/>
    <w:rsid w:val="008A088E"/>
    <w:rsid w:val="008A3CB2"/>
    <w:rsid w:val="008A6A32"/>
    <w:rsid w:val="008A7BA4"/>
    <w:rsid w:val="008A7BDC"/>
    <w:rsid w:val="008B046F"/>
    <w:rsid w:val="008B262E"/>
    <w:rsid w:val="008B3069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B7547"/>
    <w:rsid w:val="008C0A17"/>
    <w:rsid w:val="008C3EB7"/>
    <w:rsid w:val="008C43C6"/>
    <w:rsid w:val="008C6C55"/>
    <w:rsid w:val="008D0350"/>
    <w:rsid w:val="008D4323"/>
    <w:rsid w:val="008D5D9F"/>
    <w:rsid w:val="008D762B"/>
    <w:rsid w:val="008D766F"/>
    <w:rsid w:val="008E1B69"/>
    <w:rsid w:val="008E2CE7"/>
    <w:rsid w:val="008E31B3"/>
    <w:rsid w:val="008E6A98"/>
    <w:rsid w:val="008E6F33"/>
    <w:rsid w:val="008F009C"/>
    <w:rsid w:val="008F014F"/>
    <w:rsid w:val="008F0B61"/>
    <w:rsid w:val="008F0FD1"/>
    <w:rsid w:val="008F26F9"/>
    <w:rsid w:val="008F3E82"/>
    <w:rsid w:val="008F41D1"/>
    <w:rsid w:val="008F4EE4"/>
    <w:rsid w:val="008F5889"/>
    <w:rsid w:val="008F5BD3"/>
    <w:rsid w:val="008F5C7C"/>
    <w:rsid w:val="008F7A9D"/>
    <w:rsid w:val="00901C00"/>
    <w:rsid w:val="00902003"/>
    <w:rsid w:val="0090265E"/>
    <w:rsid w:val="009077C2"/>
    <w:rsid w:val="00911D11"/>
    <w:rsid w:val="0091326F"/>
    <w:rsid w:val="00917535"/>
    <w:rsid w:val="009200B3"/>
    <w:rsid w:val="0092154D"/>
    <w:rsid w:val="009229DC"/>
    <w:rsid w:val="009244B3"/>
    <w:rsid w:val="00924EDD"/>
    <w:rsid w:val="00927D88"/>
    <w:rsid w:val="0093126C"/>
    <w:rsid w:val="009336F9"/>
    <w:rsid w:val="00935A30"/>
    <w:rsid w:val="00935DA3"/>
    <w:rsid w:val="009401A1"/>
    <w:rsid w:val="00940502"/>
    <w:rsid w:val="00942186"/>
    <w:rsid w:val="00943348"/>
    <w:rsid w:val="00944F7E"/>
    <w:rsid w:val="00945947"/>
    <w:rsid w:val="0094799F"/>
    <w:rsid w:val="00947C2B"/>
    <w:rsid w:val="0095048A"/>
    <w:rsid w:val="0095073E"/>
    <w:rsid w:val="00950B7E"/>
    <w:rsid w:val="009519CD"/>
    <w:rsid w:val="00952902"/>
    <w:rsid w:val="00952BD8"/>
    <w:rsid w:val="009533C7"/>
    <w:rsid w:val="00953EC5"/>
    <w:rsid w:val="00954084"/>
    <w:rsid w:val="00955588"/>
    <w:rsid w:val="009555D4"/>
    <w:rsid w:val="00956743"/>
    <w:rsid w:val="00956BD1"/>
    <w:rsid w:val="0095701D"/>
    <w:rsid w:val="00957677"/>
    <w:rsid w:val="00960E22"/>
    <w:rsid w:val="00961CA6"/>
    <w:rsid w:val="0096224D"/>
    <w:rsid w:val="009629B2"/>
    <w:rsid w:val="00962A9A"/>
    <w:rsid w:val="009665BF"/>
    <w:rsid w:val="00966B2D"/>
    <w:rsid w:val="00967C9C"/>
    <w:rsid w:val="00970435"/>
    <w:rsid w:val="00970C25"/>
    <w:rsid w:val="009715C9"/>
    <w:rsid w:val="00971F40"/>
    <w:rsid w:val="009723B7"/>
    <w:rsid w:val="00972E14"/>
    <w:rsid w:val="00973226"/>
    <w:rsid w:val="009738F9"/>
    <w:rsid w:val="009741A2"/>
    <w:rsid w:val="00975420"/>
    <w:rsid w:val="00975969"/>
    <w:rsid w:val="009759F1"/>
    <w:rsid w:val="00975FEB"/>
    <w:rsid w:val="0098012F"/>
    <w:rsid w:val="00980EE5"/>
    <w:rsid w:val="0098347A"/>
    <w:rsid w:val="009837B3"/>
    <w:rsid w:val="00985371"/>
    <w:rsid w:val="0098589E"/>
    <w:rsid w:val="00987B04"/>
    <w:rsid w:val="00987C4D"/>
    <w:rsid w:val="00994675"/>
    <w:rsid w:val="00994AE5"/>
    <w:rsid w:val="009950DC"/>
    <w:rsid w:val="00995990"/>
    <w:rsid w:val="0099774A"/>
    <w:rsid w:val="00997E8B"/>
    <w:rsid w:val="009A41FB"/>
    <w:rsid w:val="009A5B35"/>
    <w:rsid w:val="009A5E2F"/>
    <w:rsid w:val="009A609D"/>
    <w:rsid w:val="009B044B"/>
    <w:rsid w:val="009B0C35"/>
    <w:rsid w:val="009B0C58"/>
    <w:rsid w:val="009B0DC1"/>
    <w:rsid w:val="009B0E52"/>
    <w:rsid w:val="009B15E7"/>
    <w:rsid w:val="009B1B84"/>
    <w:rsid w:val="009B4F22"/>
    <w:rsid w:val="009B5E09"/>
    <w:rsid w:val="009B7633"/>
    <w:rsid w:val="009B7A0D"/>
    <w:rsid w:val="009B7EB0"/>
    <w:rsid w:val="009C0B66"/>
    <w:rsid w:val="009C1480"/>
    <w:rsid w:val="009C215E"/>
    <w:rsid w:val="009C2F37"/>
    <w:rsid w:val="009C57C3"/>
    <w:rsid w:val="009C5D48"/>
    <w:rsid w:val="009C75A7"/>
    <w:rsid w:val="009C77FD"/>
    <w:rsid w:val="009C7819"/>
    <w:rsid w:val="009D05DF"/>
    <w:rsid w:val="009D0B81"/>
    <w:rsid w:val="009D138A"/>
    <w:rsid w:val="009D1523"/>
    <w:rsid w:val="009D2DF6"/>
    <w:rsid w:val="009D3B37"/>
    <w:rsid w:val="009D4A5D"/>
    <w:rsid w:val="009D4B28"/>
    <w:rsid w:val="009D65D5"/>
    <w:rsid w:val="009D77DF"/>
    <w:rsid w:val="009E026D"/>
    <w:rsid w:val="009E1623"/>
    <w:rsid w:val="009E193B"/>
    <w:rsid w:val="009E26B8"/>
    <w:rsid w:val="009E2C94"/>
    <w:rsid w:val="009E45CB"/>
    <w:rsid w:val="009E5B8B"/>
    <w:rsid w:val="009E6638"/>
    <w:rsid w:val="009E6B2A"/>
    <w:rsid w:val="009F042A"/>
    <w:rsid w:val="009F3B9F"/>
    <w:rsid w:val="009F42BF"/>
    <w:rsid w:val="009F5952"/>
    <w:rsid w:val="009F5A65"/>
    <w:rsid w:val="00A009D4"/>
    <w:rsid w:val="00A00D85"/>
    <w:rsid w:val="00A03262"/>
    <w:rsid w:val="00A06472"/>
    <w:rsid w:val="00A06631"/>
    <w:rsid w:val="00A12403"/>
    <w:rsid w:val="00A1374A"/>
    <w:rsid w:val="00A13912"/>
    <w:rsid w:val="00A156F6"/>
    <w:rsid w:val="00A164DC"/>
    <w:rsid w:val="00A16B18"/>
    <w:rsid w:val="00A17945"/>
    <w:rsid w:val="00A17A97"/>
    <w:rsid w:val="00A21207"/>
    <w:rsid w:val="00A21CBB"/>
    <w:rsid w:val="00A2217C"/>
    <w:rsid w:val="00A2251E"/>
    <w:rsid w:val="00A2368E"/>
    <w:rsid w:val="00A23B41"/>
    <w:rsid w:val="00A25354"/>
    <w:rsid w:val="00A257CB"/>
    <w:rsid w:val="00A3136F"/>
    <w:rsid w:val="00A31F75"/>
    <w:rsid w:val="00A31FB3"/>
    <w:rsid w:val="00A32004"/>
    <w:rsid w:val="00A3226C"/>
    <w:rsid w:val="00A32E0F"/>
    <w:rsid w:val="00A342DB"/>
    <w:rsid w:val="00A345AB"/>
    <w:rsid w:val="00A3579E"/>
    <w:rsid w:val="00A35CD5"/>
    <w:rsid w:val="00A36F14"/>
    <w:rsid w:val="00A36FE2"/>
    <w:rsid w:val="00A370C2"/>
    <w:rsid w:val="00A37F11"/>
    <w:rsid w:val="00A40185"/>
    <w:rsid w:val="00A40A35"/>
    <w:rsid w:val="00A41990"/>
    <w:rsid w:val="00A4225C"/>
    <w:rsid w:val="00A42378"/>
    <w:rsid w:val="00A454A8"/>
    <w:rsid w:val="00A47412"/>
    <w:rsid w:val="00A4775C"/>
    <w:rsid w:val="00A47E49"/>
    <w:rsid w:val="00A500BA"/>
    <w:rsid w:val="00A52888"/>
    <w:rsid w:val="00A53C8E"/>
    <w:rsid w:val="00A5460A"/>
    <w:rsid w:val="00A54878"/>
    <w:rsid w:val="00A562D1"/>
    <w:rsid w:val="00A57290"/>
    <w:rsid w:val="00A576FF"/>
    <w:rsid w:val="00A61E50"/>
    <w:rsid w:val="00A6685B"/>
    <w:rsid w:val="00A6726A"/>
    <w:rsid w:val="00A718D1"/>
    <w:rsid w:val="00A72F86"/>
    <w:rsid w:val="00A73494"/>
    <w:rsid w:val="00A756B3"/>
    <w:rsid w:val="00A76C95"/>
    <w:rsid w:val="00A77254"/>
    <w:rsid w:val="00A772D2"/>
    <w:rsid w:val="00A819DC"/>
    <w:rsid w:val="00A8329E"/>
    <w:rsid w:val="00A8406E"/>
    <w:rsid w:val="00A84B62"/>
    <w:rsid w:val="00A84E65"/>
    <w:rsid w:val="00A85347"/>
    <w:rsid w:val="00A86724"/>
    <w:rsid w:val="00A86E94"/>
    <w:rsid w:val="00A87859"/>
    <w:rsid w:val="00A909F1"/>
    <w:rsid w:val="00A924BB"/>
    <w:rsid w:val="00A94336"/>
    <w:rsid w:val="00A94546"/>
    <w:rsid w:val="00A9477D"/>
    <w:rsid w:val="00A956BC"/>
    <w:rsid w:val="00A959B2"/>
    <w:rsid w:val="00A96556"/>
    <w:rsid w:val="00A96CCF"/>
    <w:rsid w:val="00A96D16"/>
    <w:rsid w:val="00AA1DD1"/>
    <w:rsid w:val="00AA2C10"/>
    <w:rsid w:val="00AA3A38"/>
    <w:rsid w:val="00AA5A09"/>
    <w:rsid w:val="00AA5D04"/>
    <w:rsid w:val="00AB0EB3"/>
    <w:rsid w:val="00AB24D7"/>
    <w:rsid w:val="00AB40AE"/>
    <w:rsid w:val="00AB523E"/>
    <w:rsid w:val="00AB5378"/>
    <w:rsid w:val="00AB734A"/>
    <w:rsid w:val="00AC05F2"/>
    <w:rsid w:val="00AC39AE"/>
    <w:rsid w:val="00AC4A76"/>
    <w:rsid w:val="00AC59E8"/>
    <w:rsid w:val="00AC7886"/>
    <w:rsid w:val="00AD48E4"/>
    <w:rsid w:val="00AD497D"/>
    <w:rsid w:val="00AD592C"/>
    <w:rsid w:val="00AD64D8"/>
    <w:rsid w:val="00AD68EA"/>
    <w:rsid w:val="00AD6E92"/>
    <w:rsid w:val="00AD72E3"/>
    <w:rsid w:val="00AD7AEE"/>
    <w:rsid w:val="00AE05A0"/>
    <w:rsid w:val="00AE1360"/>
    <w:rsid w:val="00AE15A1"/>
    <w:rsid w:val="00AE1628"/>
    <w:rsid w:val="00AE27D6"/>
    <w:rsid w:val="00AE33C6"/>
    <w:rsid w:val="00AE4B8B"/>
    <w:rsid w:val="00AE4F30"/>
    <w:rsid w:val="00AE5A53"/>
    <w:rsid w:val="00AE725B"/>
    <w:rsid w:val="00AF0483"/>
    <w:rsid w:val="00AF1E0E"/>
    <w:rsid w:val="00AF1F6B"/>
    <w:rsid w:val="00AF2CC1"/>
    <w:rsid w:val="00AF4719"/>
    <w:rsid w:val="00AF5530"/>
    <w:rsid w:val="00AF6B2D"/>
    <w:rsid w:val="00AF7A58"/>
    <w:rsid w:val="00AF7A92"/>
    <w:rsid w:val="00B00E54"/>
    <w:rsid w:val="00B0431E"/>
    <w:rsid w:val="00B043B4"/>
    <w:rsid w:val="00B0473D"/>
    <w:rsid w:val="00B04B1B"/>
    <w:rsid w:val="00B05880"/>
    <w:rsid w:val="00B0722E"/>
    <w:rsid w:val="00B10094"/>
    <w:rsid w:val="00B129BD"/>
    <w:rsid w:val="00B1385B"/>
    <w:rsid w:val="00B13E69"/>
    <w:rsid w:val="00B1666D"/>
    <w:rsid w:val="00B20212"/>
    <w:rsid w:val="00B20CCC"/>
    <w:rsid w:val="00B21455"/>
    <w:rsid w:val="00B21F1E"/>
    <w:rsid w:val="00B22C9E"/>
    <w:rsid w:val="00B22EF1"/>
    <w:rsid w:val="00B2439E"/>
    <w:rsid w:val="00B2475B"/>
    <w:rsid w:val="00B2570A"/>
    <w:rsid w:val="00B26143"/>
    <w:rsid w:val="00B271BF"/>
    <w:rsid w:val="00B278EF"/>
    <w:rsid w:val="00B303E3"/>
    <w:rsid w:val="00B30AF8"/>
    <w:rsid w:val="00B30C28"/>
    <w:rsid w:val="00B30CBB"/>
    <w:rsid w:val="00B30D2B"/>
    <w:rsid w:val="00B3255F"/>
    <w:rsid w:val="00B3295D"/>
    <w:rsid w:val="00B33FA6"/>
    <w:rsid w:val="00B346A6"/>
    <w:rsid w:val="00B34E00"/>
    <w:rsid w:val="00B350C4"/>
    <w:rsid w:val="00B353A4"/>
    <w:rsid w:val="00B36407"/>
    <w:rsid w:val="00B41795"/>
    <w:rsid w:val="00B418BC"/>
    <w:rsid w:val="00B424CE"/>
    <w:rsid w:val="00B426F7"/>
    <w:rsid w:val="00B4322E"/>
    <w:rsid w:val="00B43835"/>
    <w:rsid w:val="00B43FCC"/>
    <w:rsid w:val="00B44AFE"/>
    <w:rsid w:val="00B45F4F"/>
    <w:rsid w:val="00B460B3"/>
    <w:rsid w:val="00B47820"/>
    <w:rsid w:val="00B504BE"/>
    <w:rsid w:val="00B51A50"/>
    <w:rsid w:val="00B51B0F"/>
    <w:rsid w:val="00B52514"/>
    <w:rsid w:val="00B53B98"/>
    <w:rsid w:val="00B53FE2"/>
    <w:rsid w:val="00B55D3B"/>
    <w:rsid w:val="00B57130"/>
    <w:rsid w:val="00B57B8B"/>
    <w:rsid w:val="00B61FF6"/>
    <w:rsid w:val="00B633BB"/>
    <w:rsid w:val="00B63A8C"/>
    <w:rsid w:val="00B6488A"/>
    <w:rsid w:val="00B65217"/>
    <w:rsid w:val="00B65B1F"/>
    <w:rsid w:val="00B65B2B"/>
    <w:rsid w:val="00B7213E"/>
    <w:rsid w:val="00B72411"/>
    <w:rsid w:val="00B72454"/>
    <w:rsid w:val="00B73AF6"/>
    <w:rsid w:val="00B75449"/>
    <w:rsid w:val="00B76503"/>
    <w:rsid w:val="00B766A1"/>
    <w:rsid w:val="00B77299"/>
    <w:rsid w:val="00B77AB5"/>
    <w:rsid w:val="00B8226E"/>
    <w:rsid w:val="00B85DD0"/>
    <w:rsid w:val="00B86016"/>
    <w:rsid w:val="00B90C18"/>
    <w:rsid w:val="00B92609"/>
    <w:rsid w:val="00B94B39"/>
    <w:rsid w:val="00B94EBE"/>
    <w:rsid w:val="00B95BCD"/>
    <w:rsid w:val="00B95E0F"/>
    <w:rsid w:val="00B971B4"/>
    <w:rsid w:val="00B974F6"/>
    <w:rsid w:val="00B979B4"/>
    <w:rsid w:val="00BA19BD"/>
    <w:rsid w:val="00BA1E27"/>
    <w:rsid w:val="00BA3CE6"/>
    <w:rsid w:val="00BA442D"/>
    <w:rsid w:val="00BA4AC0"/>
    <w:rsid w:val="00BA5910"/>
    <w:rsid w:val="00BA7E3E"/>
    <w:rsid w:val="00BB02FA"/>
    <w:rsid w:val="00BB103E"/>
    <w:rsid w:val="00BB14A2"/>
    <w:rsid w:val="00BB1BBE"/>
    <w:rsid w:val="00BB2394"/>
    <w:rsid w:val="00BB34BC"/>
    <w:rsid w:val="00BB3F5C"/>
    <w:rsid w:val="00BB42A2"/>
    <w:rsid w:val="00BB5232"/>
    <w:rsid w:val="00BB55A9"/>
    <w:rsid w:val="00BB6028"/>
    <w:rsid w:val="00BB6DE2"/>
    <w:rsid w:val="00BB6FCC"/>
    <w:rsid w:val="00BC034C"/>
    <w:rsid w:val="00BC33B4"/>
    <w:rsid w:val="00BC4065"/>
    <w:rsid w:val="00BC53AD"/>
    <w:rsid w:val="00BC6234"/>
    <w:rsid w:val="00BC726B"/>
    <w:rsid w:val="00BD015E"/>
    <w:rsid w:val="00BD0244"/>
    <w:rsid w:val="00BD17CC"/>
    <w:rsid w:val="00BD1815"/>
    <w:rsid w:val="00BD1EA9"/>
    <w:rsid w:val="00BD1F23"/>
    <w:rsid w:val="00BD2BF0"/>
    <w:rsid w:val="00BD39D2"/>
    <w:rsid w:val="00BD4A46"/>
    <w:rsid w:val="00BD4E09"/>
    <w:rsid w:val="00BD4F79"/>
    <w:rsid w:val="00BD5984"/>
    <w:rsid w:val="00BD7D49"/>
    <w:rsid w:val="00BE0A00"/>
    <w:rsid w:val="00BE2DE9"/>
    <w:rsid w:val="00BE38E1"/>
    <w:rsid w:val="00BE3A7F"/>
    <w:rsid w:val="00BE4A35"/>
    <w:rsid w:val="00BE5AC6"/>
    <w:rsid w:val="00BE6DA8"/>
    <w:rsid w:val="00BF007C"/>
    <w:rsid w:val="00BF0D91"/>
    <w:rsid w:val="00BF0DFE"/>
    <w:rsid w:val="00BF1A64"/>
    <w:rsid w:val="00BF292F"/>
    <w:rsid w:val="00BF4E8E"/>
    <w:rsid w:val="00BF501A"/>
    <w:rsid w:val="00BF55FF"/>
    <w:rsid w:val="00BF5801"/>
    <w:rsid w:val="00BF5A5A"/>
    <w:rsid w:val="00BF5C9F"/>
    <w:rsid w:val="00BF663F"/>
    <w:rsid w:val="00BF6A60"/>
    <w:rsid w:val="00C02C50"/>
    <w:rsid w:val="00C02D63"/>
    <w:rsid w:val="00C02E6B"/>
    <w:rsid w:val="00C05F0D"/>
    <w:rsid w:val="00C074D5"/>
    <w:rsid w:val="00C079B9"/>
    <w:rsid w:val="00C107A0"/>
    <w:rsid w:val="00C12153"/>
    <w:rsid w:val="00C13B23"/>
    <w:rsid w:val="00C13C50"/>
    <w:rsid w:val="00C147C3"/>
    <w:rsid w:val="00C1481E"/>
    <w:rsid w:val="00C16629"/>
    <w:rsid w:val="00C17BB8"/>
    <w:rsid w:val="00C200BE"/>
    <w:rsid w:val="00C26C92"/>
    <w:rsid w:val="00C26E01"/>
    <w:rsid w:val="00C2799C"/>
    <w:rsid w:val="00C30629"/>
    <w:rsid w:val="00C34C83"/>
    <w:rsid w:val="00C34F4B"/>
    <w:rsid w:val="00C350BB"/>
    <w:rsid w:val="00C35104"/>
    <w:rsid w:val="00C43007"/>
    <w:rsid w:val="00C432A5"/>
    <w:rsid w:val="00C4745C"/>
    <w:rsid w:val="00C506DF"/>
    <w:rsid w:val="00C50899"/>
    <w:rsid w:val="00C52471"/>
    <w:rsid w:val="00C5420E"/>
    <w:rsid w:val="00C54CE4"/>
    <w:rsid w:val="00C571BD"/>
    <w:rsid w:val="00C578B8"/>
    <w:rsid w:val="00C6078D"/>
    <w:rsid w:val="00C62544"/>
    <w:rsid w:val="00C62A0F"/>
    <w:rsid w:val="00C65212"/>
    <w:rsid w:val="00C67277"/>
    <w:rsid w:val="00C67686"/>
    <w:rsid w:val="00C67F42"/>
    <w:rsid w:val="00C704BC"/>
    <w:rsid w:val="00C717FF"/>
    <w:rsid w:val="00C71823"/>
    <w:rsid w:val="00C72171"/>
    <w:rsid w:val="00C7253A"/>
    <w:rsid w:val="00C72584"/>
    <w:rsid w:val="00C726FF"/>
    <w:rsid w:val="00C732A0"/>
    <w:rsid w:val="00C73811"/>
    <w:rsid w:val="00C75601"/>
    <w:rsid w:val="00C75B3A"/>
    <w:rsid w:val="00C75CB8"/>
    <w:rsid w:val="00C80410"/>
    <w:rsid w:val="00C81F1E"/>
    <w:rsid w:val="00C821FC"/>
    <w:rsid w:val="00C83691"/>
    <w:rsid w:val="00C83BB0"/>
    <w:rsid w:val="00C84E47"/>
    <w:rsid w:val="00C852C0"/>
    <w:rsid w:val="00C866E1"/>
    <w:rsid w:val="00C866E7"/>
    <w:rsid w:val="00C872D3"/>
    <w:rsid w:val="00C87D05"/>
    <w:rsid w:val="00C90210"/>
    <w:rsid w:val="00C90C22"/>
    <w:rsid w:val="00C9278C"/>
    <w:rsid w:val="00C93029"/>
    <w:rsid w:val="00C93129"/>
    <w:rsid w:val="00C93D8E"/>
    <w:rsid w:val="00C94558"/>
    <w:rsid w:val="00C94615"/>
    <w:rsid w:val="00C96355"/>
    <w:rsid w:val="00C964DA"/>
    <w:rsid w:val="00CA044A"/>
    <w:rsid w:val="00CA2504"/>
    <w:rsid w:val="00CA338A"/>
    <w:rsid w:val="00CA493F"/>
    <w:rsid w:val="00CA49DB"/>
    <w:rsid w:val="00CA4A13"/>
    <w:rsid w:val="00CA4D3E"/>
    <w:rsid w:val="00CA4E37"/>
    <w:rsid w:val="00CA66F4"/>
    <w:rsid w:val="00CB014B"/>
    <w:rsid w:val="00CB021E"/>
    <w:rsid w:val="00CB113A"/>
    <w:rsid w:val="00CB46E6"/>
    <w:rsid w:val="00CB7117"/>
    <w:rsid w:val="00CB71D4"/>
    <w:rsid w:val="00CC0C00"/>
    <w:rsid w:val="00CC0C0B"/>
    <w:rsid w:val="00CC12AC"/>
    <w:rsid w:val="00CC3189"/>
    <w:rsid w:val="00CC38E3"/>
    <w:rsid w:val="00CC6E8F"/>
    <w:rsid w:val="00CD164F"/>
    <w:rsid w:val="00CD1ADD"/>
    <w:rsid w:val="00CD2EC5"/>
    <w:rsid w:val="00CD391E"/>
    <w:rsid w:val="00CD4F33"/>
    <w:rsid w:val="00CD510E"/>
    <w:rsid w:val="00CD5226"/>
    <w:rsid w:val="00CD5709"/>
    <w:rsid w:val="00CD6451"/>
    <w:rsid w:val="00CD7C5A"/>
    <w:rsid w:val="00CE1FEC"/>
    <w:rsid w:val="00CE2A68"/>
    <w:rsid w:val="00CE4D0D"/>
    <w:rsid w:val="00CE57B9"/>
    <w:rsid w:val="00CE734E"/>
    <w:rsid w:val="00CE769A"/>
    <w:rsid w:val="00CF0089"/>
    <w:rsid w:val="00CF1272"/>
    <w:rsid w:val="00CF2497"/>
    <w:rsid w:val="00CF5A16"/>
    <w:rsid w:val="00CF7093"/>
    <w:rsid w:val="00CF7E47"/>
    <w:rsid w:val="00D01585"/>
    <w:rsid w:val="00D057F7"/>
    <w:rsid w:val="00D07D35"/>
    <w:rsid w:val="00D1125B"/>
    <w:rsid w:val="00D11C32"/>
    <w:rsid w:val="00D11CF4"/>
    <w:rsid w:val="00D12B27"/>
    <w:rsid w:val="00D14339"/>
    <w:rsid w:val="00D1684F"/>
    <w:rsid w:val="00D17118"/>
    <w:rsid w:val="00D208B4"/>
    <w:rsid w:val="00D215AF"/>
    <w:rsid w:val="00D238B5"/>
    <w:rsid w:val="00D26E63"/>
    <w:rsid w:val="00D27217"/>
    <w:rsid w:val="00D2740E"/>
    <w:rsid w:val="00D275FB"/>
    <w:rsid w:val="00D302CF"/>
    <w:rsid w:val="00D30F82"/>
    <w:rsid w:val="00D356E2"/>
    <w:rsid w:val="00D36DC2"/>
    <w:rsid w:val="00D37896"/>
    <w:rsid w:val="00D37898"/>
    <w:rsid w:val="00D40BC6"/>
    <w:rsid w:val="00D41A8C"/>
    <w:rsid w:val="00D41B4D"/>
    <w:rsid w:val="00D421B0"/>
    <w:rsid w:val="00D44A5E"/>
    <w:rsid w:val="00D44C46"/>
    <w:rsid w:val="00D46B3F"/>
    <w:rsid w:val="00D505B4"/>
    <w:rsid w:val="00D506D3"/>
    <w:rsid w:val="00D508F6"/>
    <w:rsid w:val="00D53E0D"/>
    <w:rsid w:val="00D5453A"/>
    <w:rsid w:val="00D54890"/>
    <w:rsid w:val="00D55DD5"/>
    <w:rsid w:val="00D562EC"/>
    <w:rsid w:val="00D57919"/>
    <w:rsid w:val="00D625EF"/>
    <w:rsid w:val="00D63193"/>
    <w:rsid w:val="00D6527D"/>
    <w:rsid w:val="00D66647"/>
    <w:rsid w:val="00D67912"/>
    <w:rsid w:val="00D71C8D"/>
    <w:rsid w:val="00D72B09"/>
    <w:rsid w:val="00D72C39"/>
    <w:rsid w:val="00D732BD"/>
    <w:rsid w:val="00D7449E"/>
    <w:rsid w:val="00D74B4C"/>
    <w:rsid w:val="00D74C0E"/>
    <w:rsid w:val="00D75DD9"/>
    <w:rsid w:val="00D76048"/>
    <w:rsid w:val="00D76CD3"/>
    <w:rsid w:val="00D77208"/>
    <w:rsid w:val="00D804B3"/>
    <w:rsid w:val="00D83735"/>
    <w:rsid w:val="00D83F39"/>
    <w:rsid w:val="00D8452E"/>
    <w:rsid w:val="00D86B8D"/>
    <w:rsid w:val="00D86BA6"/>
    <w:rsid w:val="00D875B5"/>
    <w:rsid w:val="00D90042"/>
    <w:rsid w:val="00D906B5"/>
    <w:rsid w:val="00D92BDD"/>
    <w:rsid w:val="00D931A7"/>
    <w:rsid w:val="00D93D40"/>
    <w:rsid w:val="00D941C4"/>
    <w:rsid w:val="00D95268"/>
    <w:rsid w:val="00DA04C7"/>
    <w:rsid w:val="00DA0C40"/>
    <w:rsid w:val="00DA12DA"/>
    <w:rsid w:val="00DA2086"/>
    <w:rsid w:val="00DA2225"/>
    <w:rsid w:val="00DA2D70"/>
    <w:rsid w:val="00DA4DF5"/>
    <w:rsid w:val="00DA52F1"/>
    <w:rsid w:val="00DA6213"/>
    <w:rsid w:val="00DA7ABD"/>
    <w:rsid w:val="00DB1115"/>
    <w:rsid w:val="00DB5789"/>
    <w:rsid w:val="00DB5C62"/>
    <w:rsid w:val="00DB6587"/>
    <w:rsid w:val="00DB662C"/>
    <w:rsid w:val="00DC1BA8"/>
    <w:rsid w:val="00DC254F"/>
    <w:rsid w:val="00DC2877"/>
    <w:rsid w:val="00DC4123"/>
    <w:rsid w:val="00DC4478"/>
    <w:rsid w:val="00DC4F1C"/>
    <w:rsid w:val="00DC58AC"/>
    <w:rsid w:val="00DC59A0"/>
    <w:rsid w:val="00DD1CC1"/>
    <w:rsid w:val="00DD29B8"/>
    <w:rsid w:val="00DD4FEF"/>
    <w:rsid w:val="00DD5ADD"/>
    <w:rsid w:val="00DD6F10"/>
    <w:rsid w:val="00DE0972"/>
    <w:rsid w:val="00DE1B95"/>
    <w:rsid w:val="00DE6ACC"/>
    <w:rsid w:val="00DE7CE2"/>
    <w:rsid w:val="00DE7F6B"/>
    <w:rsid w:val="00DF1E1E"/>
    <w:rsid w:val="00DF47F5"/>
    <w:rsid w:val="00DF48FB"/>
    <w:rsid w:val="00DF4B29"/>
    <w:rsid w:val="00DF4CE3"/>
    <w:rsid w:val="00DF513A"/>
    <w:rsid w:val="00DF5B54"/>
    <w:rsid w:val="00DF5D98"/>
    <w:rsid w:val="00DF631F"/>
    <w:rsid w:val="00E001F5"/>
    <w:rsid w:val="00E00578"/>
    <w:rsid w:val="00E0139C"/>
    <w:rsid w:val="00E013B8"/>
    <w:rsid w:val="00E015DF"/>
    <w:rsid w:val="00E022B1"/>
    <w:rsid w:val="00E039CA"/>
    <w:rsid w:val="00E04AA1"/>
    <w:rsid w:val="00E04BAA"/>
    <w:rsid w:val="00E04C8A"/>
    <w:rsid w:val="00E05321"/>
    <w:rsid w:val="00E060EE"/>
    <w:rsid w:val="00E069F3"/>
    <w:rsid w:val="00E105F4"/>
    <w:rsid w:val="00E116B5"/>
    <w:rsid w:val="00E11D16"/>
    <w:rsid w:val="00E131D5"/>
    <w:rsid w:val="00E14148"/>
    <w:rsid w:val="00E159DA"/>
    <w:rsid w:val="00E15B9F"/>
    <w:rsid w:val="00E15C4D"/>
    <w:rsid w:val="00E160FC"/>
    <w:rsid w:val="00E17BDA"/>
    <w:rsid w:val="00E21A95"/>
    <w:rsid w:val="00E21CD4"/>
    <w:rsid w:val="00E22309"/>
    <w:rsid w:val="00E30A7B"/>
    <w:rsid w:val="00E32939"/>
    <w:rsid w:val="00E366BF"/>
    <w:rsid w:val="00E3676F"/>
    <w:rsid w:val="00E36D69"/>
    <w:rsid w:val="00E37AC6"/>
    <w:rsid w:val="00E40038"/>
    <w:rsid w:val="00E4050B"/>
    <w:rsid w:val="00E420CF"/>
    <w:rsid w:val="00E425FC"/>
    <w:rsid w:val="00E435C5"/>
    <w:rsid w:val="00E4366D"/>
    <w:rsid w:val="00E44626"/>
    <w:rsid w:val="00E44D08"/>
    <w:rsid w:val="00E45701"/>
    <w:rsid w:val="00E45E3F"/>
    <w:rsid w:val="00E463F4"/>
    <w:rsid w:val="00E4793F"/>
    <w:rsid w:val="00E500A1"/>
    <w:rsid w:val="00E507AA"/>
    <w:rsid w:val="00E52D03"/>
    <w:rsid w:val="00E535BC"/>
    <w:rsid w:val="00E54FB4"/>
    <w:rsid w:val="00E55C52"/>
    <w:rsid w:val="00E57B94"/>
    <w:rsid w:val="00E6013C"/>
    <w:rsid w:val="00E61600"/>
    <w:rsid w:val="00E62438"/>
    <w:rsid w:val="00E62801"/>
    <w:rsid w:val="00E63A2E"/>
    <w:rsid w:val="00E63C71"/>
    <w:rsid w:val="00E64A19"/>
    <w:rsid w:val="00E64AE6"/>
    <w:rsid w:val="00E654D5"/>
    <w:rsid w:val="00E7017F"/>
    <w:rsid w:val="00E7348B"/>
    <w:rsid w:val="00E741ED"/>
    <w:rsid w:val="00E74E55"/>
    <w:rsid w:val="00E758E8"/>
    <w:rsid w:val="00E76454"/>
    <w:rsid w:val="00E76527"/>
    <w:rsid w:val="00E76FE8"/>
    <w:rsid w:val="00E77AAD"/>
    <w:rsid w:val="00E77E3C"/>
    <w:rsid w:val="00E77E84"/>
    <w:rsid w:val="00E81F2B"/>
    <w:rsid w:val="00E82252"/>
    <w:rsid w:val="00E82EDA"/>
    <w:rsid w:val="00E83012"/>
    <w:rsid w:val="00E83D81"/>
    <w:rsid w:val="00E84F58"/>
    <w:rsid w:val="00E84FCC"/>
    <w:rsid w:val="00E85BD0"/>
    <w:rsid w:val="00E87D1D"/>
    <w:rsid w:val="00E903EA"/>
    <w:rsid w:val="00E90F4D"/>
    <w:rsid w:val="00E913D5"/>
    <w:rsid w:val="00E9236F"/>
    <w:rsid w:val="00E926C6"/>
    <w:rsid w:val="00E93324"/>
    <w:rsid w:val="00E9413D"/>
    <w:rsid w:val="00E9487E"/>
    <w:rsid w:val="00E97ACE"/>
    <w:rsid w:val="00EA02B8"/>
    <w:rsid w:val="00EA30FD"/>
    <w:rsid w:val="00EA5CF7"/>
    <w:rsid w:val="00EA6396"/>
    <w:rsid w:val="00EA66DC"/>
    <w:rsid w:val="00EA685C"/>
    <w:rsid w:val="00EB0384"/>
    <w:rsid w:val="00EB0B5E"/>
    <w:rsid w:val="00EB0CA0"/>
    <w:rsid w:val="00EB1D62"/>
    <w:rsid w:val="00EB23C4"/>
    <w:rsid w:val="00EB3462"/>
    <w:rsid w:val="00EB5029"/>
    <w:rsid w:val="00EB66EF"/>
    <w:rsid w:val="00EC021E"/>
    <w:rsid w:val="00EC1500"/>
    <w:rsid w:val="00EC3D8C"/>
    <w:rsid w:val="00EC4CF3"/>
    <w:rsid w:val="00EC5E24"/>
    <w:rsid w:val="00ED25F7"/>
    <w:rsid w:val="00ED2A3B"/>
    <w:rsid w:val="00ED5553"/>
    <w:rsid w:val="00ED6412"/>
    <w:rsid w:val="00ED70EC"/>
    <w:rsid w:val="00ED7842"/>
    <w:rsid w:val="00EE01CD"/>
    <w:rsid w:val="00EE151E"/>
    <w:rsid w:val="00EE1A9D"/>
    <w:rsid w:val="00EF1BCD"/>
    <w:rsid w:val="00EF34F2"/>
    <w:rsid w:val="00EF4207"/>
    <w:rsid w:val="00EF4213"/>
    <w:rsid w:val="00EF5F49"/>
    <w:rsid w:val="00EF6977"/>
    <w:rsid w:val="00EF6CA2"/>
    <w:rsid w:val="00EF75D2"/>
    <w:rsid w:val="00EF7688"/>
    <w:rsid w:val="00F01588"/>
    <w:rsid w:val="00F01EC5"/>
    <w:rsid w:val="00F06EDF"/>
    <w:rsid w:val="00F10935"/>
    <w:rsid w:val="00F11047"/>
    <w:rsid w:val="00F1105A"/>
    <w:rsid w:val="00F12F8A"/>
    <w:rsid w:val="00F137E7"/>
    <w:rsid w:val="00F13EAE"/>
    <w:rsid w:val="00F14F5E"/>
    <w:rsid w:val="00F2104F"/>
    <w:rsid w:val="00F21170"/>
    <w:rsid w:val="00F22B7E"/>
    <w:rsid w:val="00F253B3"/>
    <w:rsid w:val="00F259C4"/>
    <w:rsid w:val="00F263D8"/>
    <w:rsid w:val="00F2773E"/>
    <w:rsid w:val="00F27E48"/>
    <w:rsid w:val="00F33A1F"/>
    <w:rsid w:val="00F36AAE"/>
    <w:rsid w:val="00F36DCD"/>
    <w:rsid w:val="00F37F32"/>
    <w:rsid w:val="00F40102"/>
    <w:rsid w:val="00F41DF9"/>
    <w:rsid w:val="00F42E40"/>
    <w:rsid w:val="00F44516"/>
    <w:rsid w:val="00F479DC"/>
    <w:rsid w:val="00F50581"/>
    <w:rsid w:val="00F5219B"/>
    <w:rsid w:val="00F52528"/>
    <w:rsid w:val="00F52D73"/>
    <w:rsid w:val="00F534E2"/>
    <w:rsid w:val="00F53A26"/>
    <w:rsid w:val="00F55EE4"/>
    <w:rsid w:val="00F5799E"/>
    <w:rsid w:val="00F603E4"/>
    <w:rsid w:val="00F61EAA"/>
    <w:rsid w:val="00F61ECE"/>
    <w:rsid w:val="00F6226C"/>
    <w:rsid w:val="00F62459"/>
    <w:rsid w:val="00F63DBD"/>
    <w:rsid w:val="00F6464B"/>
    <w:rsid w:val="00F65C10"/>
    <w:rsid w:val="00F66B49"/>
    <w:rsid w:val="00F70304"/>
    <w:rsid w:val="00F721A4"/>
    <w:rsid w:val="00F76E3B"/>
    <w:rsid w:val="00F80362"/>
    <w:rsid w:val="00F81952"/>
    <w:rsid w:val="00F82FC8"/>
    <w:rsid w:val="00F84975"/>
    <w:rsid w:val="00F85B20"/>
    <w:rsid w:val="00F868B6"/>
    <w:rsid w:val="00F900A1"/>
    <w:rsid w:val="00F91B5B"/>
    <w:rsid w:val="00F91E60"/>
    <w:rsid w:val="00F9366A"/>
    <w:rsid w:val="00F94754"/>
    <w:rsid w:val="00F9622D"/>
    <w:rsid w:val="00F972BB"/>
    <w:rsid w:val="00F974EB"/>
    <w:rsid w:val="00F97E9E"/>
    <w:rsid w:val="00FA3577"/>
    <w:rsid w:val="00FA4334"/>
    <w:rsid w:val="00FA4639"/>
    <w:rsid w:val="00FA5525"/>
    <w:rsid w:val="00FA5D61"/>
    <w:rsid w:val="00FA6A38"/>
    <w:rsid w:val="00FA7290"/>
    <w:rsid w:val="00FA7987"/>
    <w:rsid w:val="00FA7D67"/>
    <w:rsid w:val="00FB14BB"/>
    <w:rsid w:val="00FB1567"/>
    <w:rsid w:val="00FB391A"/>
    <w:rsid w:val="00FB3C80"/>
    <w:rsid w:val="00FB4120"/>
    <w:rsid w:val="00FB5119"/>
    <w:rsid w:val="00FB5BC8"/>
    <w:rsid w:val="00FB60C8"/>
    <w:rsid w:val="00FB7682"/>
    <w:rsid w:val="00FC1114"/>
    <w:rsid w:val="00FC1B23"/>
    <w:rsid w:val="00FC355F"/>
    <w:rsid w:val="00FC3571"/>
    <w:rsid w:val="00FC4EBD"/>
    <w:rsid w:val="00FC5675"/>
    <w:rsid w:val="00FD20E5"/>
    <w:rsid w:val="00FD61AD"/>
    <w:rsid w:val="00FD7A73"/>
    <w:rsid w:val="00FD7FE4"/>
    <w:rsid w:val="00FE0454"/>
    <w:rsid w:val="00FE0B56"/>
    <w:rsid w:val="00FE1032"/>
    <w:rsid w:val="00FE112E"/>
    <w:rsid w:val="00FE20B5"/>
    <w:rsid w:val="00FE4505"/>
    <w:rsid w:val="00FE4B35"/>
    <w:rsid w:val="00FE5311"/>
    <w:rsid w:val="00FE6515"/>
    <w:rsid w:val="00FF017C"/>
    <w:rsid w:val="00FF0ADE"/>
    <w:rsid w:val="00FF44FC"/>
    <w:rsid w:val="00FF6BAC"/>
    <w:rsid w:val="00FF7313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04744FD"/>
  <w15:docId w15:val="{87E365DD-E123-4AB6-85E3-757DB9D0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B8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78B8"/>
    <w:pPr>
      <w:keepNext/>
      <w:keepLines/>
      <w:spacing w:before="480"/>
      <w:outlineLvl w:val="0"/>
    </w:pPr>
    <w:rPr>
      <w:b/>
      <w:bCs/>
      <w:color w:val="525D36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78B8"/>
    <w:pPr>
      <w:keepNext/>
      <w:keepLines/>
      <w:spacing w:before="200"/>
      <w:outlineLvl w:val="1"/>
    </w:pPr>
    <w:rPr>
      <w:b/>
      <w:bCs/>
      <w:color w:val="525D3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C578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rsid w:val="00C578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C578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C578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rsid w:val="00C578B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rsid w:val="00C578B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rsid w:val="00C578B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73373"/>
    <w:pPr>
      <w:tabs>
        <w:tab w:val="center" w:pos="4153"/>
        <w:tab w:val="right" w:pos="8306"/>
      </w:tabs>
    </w:pPr>
  </w:style>
  <w:style w:type="paragraph" w:customStyle="1" w:styleId="ReportTitle">
    <w:name w:val="Report Title"/>
    <w:basedOn w:val="Normal"/>
    <w:rsid w:val="0083480D"/>
    <w:pPr>
      <w:spacing w:after="320"/>
    </w:pPr>
    <w:rPr>
      <w:rFonts w:ascii="Trebuchet MS" w:hAnsi="Trebuchet MS"/>
      <w:color w:val="F78E1D"/>
      <w:sz w:val="48"/>
      <w:szCs w:val="20"/>
    </w:rPr>
  </w:style>
  <w:style w:type="paragraph" w:customStyle="1" w:styleId="StyleHeading1DarkRed">
    <w:name w:val="Style Heading 1 + Dark Red"/>
    <w:basedOn w:val="Heading1"/>
    <w:rsid w:val="0083480D"/>
    <w:pPr>
      <w:spacing w:after="320"/>
    </w:pPr>
    <w:rPr>
      <w:color w:val="800000"/>
    </w:rPr>
  </w:style>
  <w:style w:type="character" w:customStyle="1" w:styleId="Heading2Char">
    <w:name w:val="Heading 2 Char"/>
    <w:link w:val="Heading2"/>
    <w:rsid w:val="00C578B8"/>
    <w:rPr>
      <w:rFonts w:ascii="Arial" w:hAnsi="Arial"/>
      <w:b/>
      <w:bCs/>
      <w:color w:val="525D36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rsid w:val="00C57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78B8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8B8"/>
  </w:style>
  <w:style w:type="paragraph" w:styleId="BlockText">
    <w:name w:val="Block Text"/>
    <w:basedOn w:val="Normal"/>
    <w:rsid w:val="00C578B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C578B8"/>
    <w:pPr>
      <w:spacing w:after="120"/>
    </w:pPr>
  </w:style>
  <w:style w:type="character" w:customStyle="1" w:styleId="BodyTextChar">
    <w:name w:val="Body Text Char"/>
    <w:link w:val="BodyText"/>
    <w:rsid w:val="00C578B8"/>
    <w:rPr>
      <w:rFonts w:ascii="Arial" w:hAnsi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578B8"/>
    <w:pPr>
      <w:spacing w:after="120" w:line="480" w:lineRule="auto"/>
    </w:pPr>
  </w:style>
  <w:style w:type="character" w:customStyle="1" w:styleId="BodyText2Char">
    <w:name w:val="Body Text 2 Char"/>
    <w:link w:val="BodyText2"/>
    <w:rsid w:val="00C578B8"/>
    <w:rPr>
      <w:rFonts w:ascii="Arial" w:hAnsi="Arial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C578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578B8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C578B8"/>
    <w:pPr>
      <w:ind w:firstLine="210"/>
    </w:pPr>
  </w:style>
  <w:style w:type="character" w:customStyle="1" w:styleId="BodyTextFirstIndentChar">
    <w:name w:val="Body Text First Indent Char"/>
    <w:link w:val="BodyTextFirstIndent"/>
    <w:rsid w:val="00C578B8"/>
    <w:rPr>
      <w:rFonts w:ascii="Arial" w:hAnsi="Arial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C578B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578B8"/>
    <w:rPr>
      <w:rFonts w:ascii="Arial" w:hAnsi="Arial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C578B8"/>
    <w:pPr>
      <w:ind w:firstLine="210"/>
    </w:pPr>
  </w:style>
  <w:style w:type="character" w:customStyle="1" w:styleId="BodyTextFirstIndent2Char">
    <w:name w:val="Body Text First Indent 2 Char"/>
    <w:link w:val="BodyTextFirstIndent2"/>
    <w:rsid w:val="00C578B8"/>
    <w:rPr>
      <w:rFonts w:ascii="Arial" w:hAnsi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578B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578B8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578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578B8"/>
    <w:rPr>
      <w:rFonts w:ascii="Arial" w:hAnsi="Arial"/>
      <w:sz w:val="16"/>
      <w:szCs w:val="16"/>
      <w:lang w:eastAsia="en-US"/>
    </w:rPr>
  </w:style>
  <w:style w:type="character" w:styleId="BookTitle">
    <w:name w:val="Book Title"/>
    <w:uiPriority w:val="33"/>
    <w:rsid w:val="00C578B8"/>
    <w:rPr>
      <w:b/>
      <w:bCs/>
      <w:smallCaps/>
      <w:spacing w:val="5"/>
      <w:lang w:val="en-AU"/>
    </w:rPr>
  </w:style>
  <w:style w:type="paragraph" w:styleId="Caption">
    <w:name w:val="caption"/>
    <w:basedOn w:val="Normal"/>
    <w:next w:val="Normal"/>
    <w:semiHidden/>
    <w:unhideWhenUsed/>
    <w:rsid w:val="00C578B8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C578B8"/>
    <w:pPr>
      <w:ind w:left="4252"/>
    </w:pPr>
  </w:style>
  <w:style w:type="character" w:customStyle="1" w:styleId="ClosingChar">
    <w:name w:val="Closing Char"/>
    <w:link w:val="Closing"/>
    <w:rsid w:val="00C578B8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rsid w:val="00C578B8"/>
    <w:rPr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rsid w:val="00C578B8"/>
    <w:rPr>
      <w:sz w:val="20"/>
      <w:szCs w:val="20"/>
    </w:rPr>
  </w:style>
  <w:style w:type="character" w:customStyle="1" w:styleId="CommentTextChar">
    <w:name w:val="Comment Text Char"/>
    <w:link w:val="CommentText"/>
    <w:rsid w:val="00C578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578B8"/>
    <w:rPr>
      <w:b/>
      <w:bCs/>
    </w:rPr>
  </w:style>
  <w:style w:type="character" w:customStyle="1" w:styleId="CommentSubjectChar">
    <w:name w:val="Comment Subject Char"/>
    <w:link w:val="CommentSubject"/>
    <w:rsid w:val="00C578B8"/>
    <w:rPr>
      <w:rFonts w:ascii="Arial" w:hAnsi="Arial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C578B8"/>
  </w:style>
  <w:style w:type="character" w:customStyle="1" w:styleId="DateChar">
    <w:name w:val="Date Char"/>
    <w:link w:val="Date"/>
    <w:rsid w:val="00C578B8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C578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578B8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C578B8"/>
  </w:style>
  <w:style w:type="character" w:customStyle="1" w:styleId="E-mailSignatureChar">
    <w:name w:val="E-mail Signature Char"/>
    <w:link w:val="E-mailSignature"/>
    <w:rsid w:val="00C578B8"/>
    <w:rPr>
      <w:rFonts w:ascii="Arial" w:hAnsi="Arial"/>
      <w:sz w:val="24"/>
      <w:szCs w:val="24"/>
      <w:lang w:eastAsia="en-US"/>
    </w:rPr>
  </w:style>
  <w:style w:type="character" w:styleId="Emphasis">
    <w:name w:val="Emphasis"/>
    <w:rsid w:val="00C578B8"/>
    <w:rPr>
      <w:i/>
      <w:iCs/>
    </w:rPr>
  </w:style>
  <w:style w:type="character" w:styleId="EndnoteReference">
    <w:name w:val="endnote reference"/>
    <w:rsid w:val="00C578B8"/>
    <w:rPr>
      <w:vertAlign w:val="superscript"/>
    </w:rPr>
  </w:style>
  <w:style w:type="paragraph" w:styleId="EndnoteText">
    <w:name w:val="endnote text"/>
    <w:basedOn w:val="Normal"/>
    <w:link w:val="EndnoteTextChar"/>
    <w:rsid w:val="00C578B8"/>
    <w:rPr>
      <w:sz w:val="20"/>
      <w:szCs w:val="20"/>
    </w:rPr>
  </w:style>
  <w:style w:type="character" w:customStyle="1" w:styleId="EndnoteTextChar">
    <w:name w:val="Endnote Text Char"/>
    <w:link w:val="EndnoteText"/>
    <w:rsid w:val="00C578B8"/>
    <w:rPr>
      <w:rFonts w:ascii="Arial" w:hAnsi="Arial"/>
      <w:lang w:eastAsia="en-US"/>
    </w:rPr>
  </w:style>
  <w:style w:type="paragraph" w:styleId="EnvelopeAddress">
    <w:name w:val="envelope address"/>
    <w:basedOn w:val="Normal"/>
    <w:rsid w:val="00C578B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C578B8"/>
    <w:rPr>
      <w:rFonts w:ascii="Cambria" w:hAnsi="Cambria"/>
      <w:sz w:val="20"/>
      <w:szCs w:val="20"/>
    </w:rPr>
  </w:style>
  <w:style w:type="character" w:styleId="FollowedHyperlink">
    <w:name w:val="FollowedHyperlink"/>
    <w:rsid w:val="00C578B8"/>
    <w:rPr>
      <w:color w:val="800080"/>
      <w:u w:val="single"/>
    </w:rPr>
  </w:style>
  <w:style w:type="character" w:styleId="FootnoteReference">
    <w:name w:val="footnote reference"/>
    <w:rsid w:val="00C578B8"/>
    <w:rPr>
      <w:vertAlign w:val="superscript"/>
    </w:rPr>
  </w:style>
  <w:style w:type="paragraph" w:styleId="FootnoteText">
    <w:name w:val="footnote text"/>
    <w:basedOn w:val="Normal"/>
    <w:link w:val="FootnoteTextChar"/>
    <w:rsid w:val="00C578B8"/>
    <w:rPr>
      <w:sz w:val="20"/>
      <w:szCs w:val="20"/>
    </w:rPr>
  </w:style>
  <w:style w:type="character" w:customStyle="1" w:styleId="FootnoteTextChar">
    <w:name w:val="Footnote Text Char"/>
    <w:link w:val="FootnoteText"/>
    <w:rsid w:val="00C578B8"/>
    <w:rPr>
      <w:rFonts w:ascii="Arial" w:hAnsi="Arial"/>
      <w:lang w:eastAsia="en-US"/>
    </w:rPr>
  </w:style>
  <w:style w:type="character" w:customStyle="1" w:styleId="Heading3Char">
    <w:name w:val="Heading 3 Char"/>
    <w:link w:val="Heading3"/>
    <w:semiHidden/>
    <w:rsid w:val="00C578B8"/>
    <w:rPr>
      <w:rFonts w:ascii="Cambria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rsid w:val="00C578B8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C578B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78B8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78B8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78B8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78B8"/>
    <w:rPr>
      <w:rFonts w:ascii="Cambria" w:hAnsi="Cambria"/>
      <w:sz w:val="22"/>
      <w:szCs w:val="22"/>
      <w:lang w:eastAsia="en-US"/>
    </w:rPr>
  </w:style>
  <w:style w:type="character" w:styleId="HTMLAcronym">
    <w:name w:val="HTML Acronym"/>
    <w:basedOn w:val="DefaultParagraphFont"/>
    <w:rsid w:val="00C578B8"/>
  </w:style>
  <w:style w:type="paragraph" w:styleId="HTMLAddress">
    <w:name w:val="HTML Address"/>
    <w:basedOn w:val="Normal"/>
    <w:link w:val="HTMLAddressChar"/>
    <w:rsid w:val="00C578B8"/>
    <w:rPr>
      <w:i/>
      <w:iCs/>
    </w:rPr>
  </w:style>
  <w:style w:type="character" w:customStyle="1" w:styleId="HTMLAddressChar">
    <w:name w:val="HTML Address Char"/>
    <w:link w:val="HTMLAddress"/>
    <w:rsid w:val="00C578B8"/>
    <w:rPr>
      <w:rFonts w:ascii="Arial" w:hAnsi="Arial"/>
      <w:i/>
      <w:iCs/>
      <w:sz w:val="24"/>
      <w:szCs w:val="24"/>
      <w:lang w:eastAsia="en-US"/>
    </w:rPr>
  </w:style>
  <w:style w:type="character" w:styleId="HTMLCite">
    <w:name w:val="HTML Cite"/>
    <w:rsid w:val="00C578B8"/>
    <w:rPr>
      <w:i/>
      <w:iCs/>
    </w:rPr>
  </w:style>
  <w:style w:type="character" w:styleId="HTMLCode">
    <w:name w:val="HTML Code"/>
    <w:rsid w:val="00C578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578B8"/>
    <w:rPr>
      <w:i/>
      <w:iCs/>
    </w:rPr>
  </w:style>
  <w:style w:type="character" w:styleId="HTMLKeyboard">
    <w:name w:val="HTML Keyboard"/>
    <w:rsid w:val="00C578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78B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578B8"/>
    <w:rPr>
      <w:rFonts w:ascii="Courier New" w:hAnsi="Courier New" w:cs="Courier New"/>
      <w:lang w:eastAsia="en-US"/>
    </w:rPr>
  </w:style>
  <w:style w:type="character" w:styleId="HTMLSample">
    <w:name w:val="HTML Sample"/>
    <w:rsid w:val="00C578B8"/>
    <w:rPr>
      <w:rFonts w:ascii="Courier New" w:hAnsi="Courier New" w:cs="Courier New"/>
    </w:rPr>
  </w:style>
  <w:style w:type="character" w:styleId="HTMLTypewriter">
    <w:name w:val="HTML Typewriter"/>
    <w:rsid w:val="00C578B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578B8"/>
    <w:rPr>
      <w:i/>
      <w:iCs/>
    </w:rPr>
  </w:style>
  <w:style w:type="character" w:styleId="Hyperlink">
    <w:name w:val="Hyperlink"/>
    <w:rsid w:val="00C578B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C578B8"/>
    <w:pPr>
      <w:ind w:left="240" w:hanging="240"/>
    </w:pPr>
  </w:style>
  <w:style w:type="paragraph" w:styleId="Index2">
    <w:name w:val="index 2"/>
    <w:basedOn w:val="Normal"/>
    <w:next w:val="Normal"/>
    <w:autoRedefine/>
    <w:rsid w:val="00C578B8"/>
    <w:pPr>
      <w:ind w:left="480" w:hanging="240"/>
    </w:pPr>
  </w:style>
  <w:style w:type="paragraph" w:styleId="Index3">
    <w:name w:val="index 3"/>
    <w:basedOn w:val="Normal"/>
    <w:next w:val="Normal"/>
    <w:autoRedefine/>
    <w:rsid w:val="00C578B8"/>
    <w:pPr>
      <w:ind w:left="720" w:hanging="240"/>
    </w:pPr>
  </w:style>
  <w:style w:type="paragraph" w:styleId="Index4">
    <w:name w:val="index 4"/>
    <w:basedOn w:val="Normal"/>
    <w:next w:val="Normal"/>
    <w:autoRedefine/>
    <w:rsid w:val="00C578B8"/>
    <w:pPr>
      <w:ind w:left="960" w:hanging="240"/>
    </w:pPr>
  </w:style>
  <w:style w:type="paragraph" w:styleId="Index5">
    <w:name w:val="index 5"/>
    <w:basedOn w:val="Normal"/>
    <w:next w:val="Normal"/>
    <w:autoRedefine/>
    <w:rsid w:val="00C578B8"/>
    <w:pPr>
      <w:ind w:left="1200" w:hanging="240"/>
    </w:pPr>
  </w:style>
  <w:style w:type="paragraph" w:styleId="Index6">
    <w:name w:val="index 6"/>
    <w:basedOn w:val="Normal"/>
    <w:next w:val="Normal"/>
    <w:autoRedefine/>
    <w:rsid w:val="00C578B8"/>
    <w:pPr>
      <w:ind w:left="1440" w:hanging="240"/>
    </w:pPr>
  </w:style>
  <w:style w:type="paragraph" w:styleId="Index7">
    <w:name w:val="index 7"/>
    <w:basedOn w:val="Normal"/>
    <w:next w:val="Normal"/>
    <w:autoRedefine/>
    <w:rsid w:val="00C578B8"/>
    <w:pPr>
      <w:ind w:left="1680" w:hanging="240"/>
    </w:pPr>
  </w:style>
  <w:style w:type="paragraph" w:styleId="Index8">
    <w:name w:val="index 8"/>
    <w:basedOn w:val="Normal"/>
    <w:next w:val="Normal"/>
    <w:autoRedefine/>
    <w:rsid w:val="00C578B8"/>
    <w:pPr>
      <w:ind w:left="1920" w:hanging="240"/>
    </w:pPr>
  </w:style>
  <w:style w:type="paragraph" w:styleId="Index9">
    <w:name w:val="index 9"/>
    <w:basedOn w:val="Normal"/>
    <w:next w:val="Normal"/>
    <w:autoRedefine/>
    <w:rsid w:val="00C578B8"/>
    <w:pPr>
      <w:ind w:left="2160" w:hanging="240"/>
    </w:pPr>
  </w:style>
  <w:style w:type="paragraph" w:styleId="IndexHeading">
    <w:name w:val="index heading"/>
    <w:basedOn w:val="Normal"/>
    <w:next w:val="Index1"/>
    <w:rsid w:val="00C578B8"/>
    <w:rPr>
      <w:rFonts w:ascii="Cambria" w:hAnsi="Cambria"/>
      <w:b/>
      <w:bCs/>
    </w:rPr>
  </w:style>
  <w:style w:type="character" w:styleId="IntenseEmphasis">
    <w:name w:val="Intense Emphasis"/>
    <w:uiPriority w:val="21"/>
    <w:rsid w:val="00C578B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C578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578B8"/>
    <w:rPr>
      <w:rFonts w:ascii="Arial" w:hAnsi="Arial"/>
      <w:b/>
      <w:bCs/>
      <w:i/>
      <w:iCs/>
      <w:color w:val="4F81BD"/>
      <w:sz w:val="24"/>
      <w:szCs w:val="24"/>
      <w:lang w:eastAsia="en-US"/>
    </w:rPr>
  </w:style>
  <w:style w:type="character" w:styleId="IntenseReference">
    <w:name w:val="Intense Reference"/>
    <w:uiPriority w:val="32"/>
    <w:rsid w:val="00C578B8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rsid w:val="00C578B8"/>
  </w:style>
  <w:style w:type="paragraph" w:styleId="List">
    <w:name w:val="List"/>
    <w:basedOn w:val="Normal"/>
    <w:rsid w:val="00C578B8"/>
    <w:pPr>
      <w:ind w:left="283" w:hanging="283"/>
      <w:contextualSpacing/>
    </w:pPr>
  </w:style>
  <w:style w:type="paragraph" w:styleId="List2">
    <w:name w:val="List 2"/>
    <w:basedOn w:val="Normal"/>
    <w:rsid w:val="00C578B8"/>
    <w:pPr>
      <w:ind w:left="566" w:hanging="283"/>
      <w:contextualSpacing/>
    </w:pPr>
  </w:style>
  <w:style w:type="paragraph" w:styleId="List3">
    <w:name w:val="List 3"/>
    <w:basedOn w:val="Normal"/>
    <w:rsid w:val="00C578B8"/>
    <w:pPr>
      <w:ind w:left="849" w:hanging="283"/>
      <w:contextualSpacing/>
    </w:pPr>
  </w:style>
  <w:style w:type="paragraph" w:styleId="List4">
    <w:name w:val="List 4"/>
    <w:basedOn w:val="Normal"/>
    <w:rsid w:val="00C578B8"/>
    <w:pPr>
      <w:ind w:left="1132" w:hanging="283"/>
      <w:contextualSpacing/>
    </w:pPr>
  </w:style>
  <w:style w:type="paragraph" w:styleId="List5">
    <w:name w:val="List 5"/>
    <w:basedOn w:val="Normal"/>
    <w:rsid w:val="00C578B8"/>
    <w:pPr>
      <w:ind w:left="1415" w:hanging="283"/>
      <w:contextualSpacing/>
    </w:pPr>
  </w:style>
  <w:style w:type="paragraph" w:styleId="ListBullet">
    <w:name w:val="List Bullet"/>
    <w:basedOn w:val="Normal"/>
    <w:rsid w:val="00C578B8"/>
    <w:pPr>
      <w:numPr>
        <w:numId w:val="1"/>
      </w:numPr>
      <w:contextualSpacing/>
    </w:pPr>
  </w:style>
  <w:style w:type="paragraph" w:styleId="ListBullet2">
    <w:name w:val="List Bullet 2"/>
    <w:basedOn w:val="Normal"/>
    <w:rsid w:val="00C578B8"/>
    <w:pPr>
      <w:numPr>
        <w:numId w:val="2"/>
      </w:numPr>
      <w:contextualSpacing/>
    </w:pPr>
  </w:style>
  <w:style w:type="paragraph" w:styleId="ListBullet3">
    <w:name w:val="List Bullet 3"/>
    <w:basedOn w:val="Normal"/>
    <w:rsid w:val="00C578B8"/>
    <w:pPr>
      <w:numPr>
        <w:numId w:val="3"/>
      </w:numPr>
      <w:contextualSpacing/>
    </w:pPr>
  </w:style>
  <w:style w:type="paragraph" w:styleId="ListBullet4">
    <w:name w:val="List Bullet 4"/>
    <w:basedOn w:val="Normal"/>
    <w:rsid w:val="00C578B8"/>
    <w:pPr>
      <w:numPr>
        <w:numId w:val="4"/>
      </w:numPr>
      <w:contextualSpacing/>
    </w:pPr>
  </w:style>
  <w:style w:type="paragraph" w:styleId="ListBullet5">
    <w:name w:val="List Bullet 5"/>
    <w:basedOn w:val="Normal"/>
    <w:rsid w:val="00C578B8"/>
    <w:pPr>
      <w:numPr>
        <w:numId w:val="5"/>
      </w:numPr>
      <w:contextualSpacing/>
    </w:pPr>
  </w:style>
  <w:style w:type="paragraph" w:styleId="ListContinue">
    <w:name w:val="List Continue"/>
    <w:basedOn w:val="Normal"/>
    <w:rsid w:val="00C578B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578B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578B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578B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578B8"/>
    <w:pPr>
      <w:spacing w:after="120"/>
      <w:ind w:left="1415"/>
      <w:contextualSpacing/>
    </w:pPr>
  </w:style>
  <w:style w:type="paragraph" w:styleId="ListNumber">
    <w:name w:val="List Number"/>
    <w:basedOn w:val="Normal"/>
    <w:rsid w:val="00C578B8"/>
    <w:pPr>
      <w:numPr>
        <w:numId w:val="6"/>
      </w:numPr>
      <w:contextualSpacing/>
    </w:pPr>
  </w:style>
  <w:style w:type="paragraph" w:styleId="ListNumber2">
    <w:name w:val="List Number 2"/>
    <w:basedOn w:val="Normal"/>
    <w:rsid w:val="00C578B8"/>
    <w:pPr>
      <w:numPr>
        <w:numId w:val="7"/>
      </w:numPr>
      <w:contextualSpacing/>
    </w:pPr>
  </w:style>
  <w:style w:type="paragraph" w:styleId="ListNumber3">
    <w:name w:val="List Number 3"/>
    <w:basedOn w:val="Normal"/>
    <w:rsid w:val="00C578B8"/>
    <w:pPr>
      <w:numPr>
        <w:numId w:val="8"/>
      </w:numPr>
      <w:contextualSpacing/>
    </w:pPr>
  </w:style>
  <w:style w:type="paragraph" w:styleId="ListNumber4">
    <w:name w:val="List Number 4"/>
    <w:basedOn w:val="Normal"/>
    <w:rsid w:val="00C578B8"/>
    <w:pPr>
      <w:numPr>
        <w:numId w:val="9"/>
      </w:numPr>
      <w:contextualSpacing/>
    </w:pPr>
  </w:style>
  <w:style w:type="paragraph" w:styleId="ListNumber5">
    <w:name w:val="List Number 5"/>
    <w:basedOn w:val="Normal"/>
    <w:rsid w:val="00C578B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C578B8"/>
    <w:pPr>
      <w:ind w:left="720"/>
    </w:pPr>
  </w:style>
  <w:style w:type="paragraph" w:styleId="MacroText">
    <w:name w:val="macro"/>
    <w:link w:val="MacroTextChar"/>
    <w:rsid w:val="00C578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C578B8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C578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C578B8"/>
    <w:rPr>
      <w:rFonts w:ascii="Cambria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C578B8"/>
    <w:pPr>
      <w:jc w:val="both"/>
    </w:pPr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rsid w:val="00C578B8"/>
    <w:rPr>
      <w:rFonts w:ascii="Times New Roman" w:hAnsi="Times New Roman"/>
    </w:rPr>
  </w:style>
  <w:style w:type="paragraph" w:styleId="NormalIndent">
    <w:name w:val="Normal Indent"/>
    <w:basedOn w:val="Normal"/>
    <w:rsid w:val="00C578B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578B8"/>
  </w:style>
  <w:style w:type="character" w:customStyle="1" w:styleId="NoteHeadingChar">
    <w:name w:val="Note Heading Char"/>
    <w:link w:val="NoteHeading"/>
    <w:rsid w:val="00C578B8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C578B8"/>
  </w:style>
  <w:style w:type="character" w:styleId="PlaceholderText">
    <w:name w:val="Placeholder Text"/>
    <w:uiPriority w:val="99"/>
    <w:semiHidden/>
    <w:rsid w:val="00C578B8"/>
    <w:rPr>
      <w:color w:val="808080"/>
    </w:rPr>
  </w:style>
  <w:style w:type="paragraph" w:styleId="PlainText">
    <w:name w:val="Plain Text"/>
    <w:basedOn w:val="Normal"/>
    <w:link w:val="PlainTextChar"/>
    <w:rsid w:val="00C578B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578B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C578B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578B8"/>
    <w:rPr>
      <w:rFonts w:ascii="Arial" w:hAnsi="Arial"/>
      <w:i/>
      <w:iCs/>
      <w:color w:val="000000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C578B8"/>
  </w:style>
  <w:style w:type="character" w:customStyle="1" w:styleId="SalutationChar">
    <w:name w:val="Salutation Char"/>
    <w:link w:val="Salutation"/>
    <w:rsid w:val="00C578B8"/>
    <w:rPr>
      <w:rFonts w:ascii="Arial" w:hAnsi="Arial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C578B8"/>
    <w:pPr>
      <w:ind w:left="4252"/>
    </w:pPr>
  </w:style>
  <w:style w:type="character" w:customStyle="1" w:styleId="SignatureChar">
    <w:name w:val="Signature Char"/>
    <w:link w:val="Signature"/>
    <w:rsid w:val="00C578B8"/>
    <w:rPr>
      <w:rFonts w:ascii="Arial" w:hAnsi="Arial"/>
      <w:sz w:val="24"/>
      <w:szCs w:val="24"/>
      <w:lang w:eastAsia="en-US"/>
    </w:rPr>
  </w:style>
  <w:style w:type="character" w:styleId="Strong">
    <w:name w:val="Strong"/>
    <w:rsid w:val="00C578B8"/>
    <w:rPr>
      <w:b/>
      <w:bCs/>
    </w:rPr>
  </w:style>
  <w:style w:type="paragraph" w:styleId="Subtitle">
    <w:name w:val="Subtitle"/>
    <w:basedOn w:val="Normal"/>
    <w:next w:val="Normal"/>
    <w:link w:val="SubtitleChar"/>
    <w:rsid w:val="00C578B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C578B8"/>
    <w:rPr>
      <w:rFonts w:ascii="Cambria" w:hAnsi="Cambria"/>
      <w:sz w:val="24"/>
      <w:szCs w:val="24"/>
      <w:lang w:eastAsia="en-US"/>
    </w:rPr>
  </w:style>
  <w:style w:type="character" w:styleId="SubtleEmphasis">
    <w:name w:val="Subtle Emphasis"/>
    <w:uiPriority w:val="19"/>
    <w:rsid w:val="00C578B8"/>
    <w:rPr>
      <w:i/>
      <w:iCs/>
      <w:color w:val="808080"/>
    </w:rPr>
  </w:style>
  <w:style w:type="character" w:styleId="SubtleReference">
    <w:name w:val="Subtle Reference"/>
    <w:uiPriority w:val="31"/>
    <w:rsid w:val="00C578B8"/>
    <w:rPr>
      <w:smallCaps/>
      <w:color w:val="C0504D"/>
      <w:u w:val="single"/>
    </w:rPr>
  </w:style>
  <w:style w:type="paragraph" w:styleId="TableofAuthorities">
    <w:name w:val="table of authorities"/>
    <w:basedOn w:val="Normal"/>
    <w:next w:val="Normal"/>
    <w:rsid w:val="00C578B8"/>
    <w:pPr>
      <w:ind w:left="240" w:hanging="240"/>
    </w:pPr>
  </w:style>
  <w:style w:type="paragraph" w:styleId="TableofFigures">
    <w:name w:val="table of figures"/>
    <w:basedOn w:val="Normal"/>
    <w:next w:val="Normal"/>
    <w:rsid w:val="00C578B8"/>
  </w:style>
  <w:style w:type="paragraph" w:styleId="Title">
    <w:name w:val="Title"/>
    <w:basedOn w:val="Normal"/>
    <w:next w:val="Normal"/>
    <w:link w:val="TitleChar"/>
    <w:rsid w:val="00C578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578B8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C578B8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C578B8"/>
  </w:style>
  <w:style w:type="paragraph" w:styleId="TOC2">
    <w:name w:val="toc 2"/>
    <w:basedOn w:val="Normal"/>
    <w:next w:val="Normal"/>
    <w:autoRedefine/>
    <w:rsid w:val="00C578B8"/>
    <w:pPr>
      <w:ind w:left="240"/>
    </w:pPr>
  </w:style>
  <w:style w:type="paragraph" w:styleId="TOC3">
    <w:name w:val="toc 3"/>
    <w:basedOn w:val="Normal"/>
    <w:next w:val="Normal"/>
    <w:autoRedefine/>
    <w:rsid w:val="00C578B8"/>
    <w:pPr>
      <w:ind w:left="480"/>
    </w:pPr>
  </w:style>
  <w:style w:type="paragraph" w:styleId="TOC4">
    <w:name w:val="toc 4"/>
    <w:basedOn w:val="Normal"/>
    <w:next w:val="Normal"/>
    <w:autoRedefine/>
    <w:rsid w:val="00C578B8"/>
    <w:pPr>
      <w:ind w:left="720"/>
    </w:pPr>
  </w:style>
  <w:style w:type="paragraph" w:styleId="TOC5">
    <w:name w:val="toc 5"/>
    <w:basedOn w:val="Normal"/>
    <w:next w:val="Normal"/>
    <w:autoRedefine/>
    <w:rsid w:val="00C578B8"/>
    <w:pPr>
      <w:ind w:left="960"/>
    </w:pPr>
  </w:style>
  <w:style w:type="paragraph" w:styleId="TOC6">
    <w:name w:val="toc 6"/>
    <w:basedOn w:val="Normal"/>
    <w:next w:val="Normal"/>
    <w:autoRedefine/>
    <w:rsid w:val="00C578B8"/>
    <w:pPr>
      <w:ind w:left="1200"/>
    </w:pPr>
  </w:style>
  <w:style w:type="paragraph" w:styleId="TOC7">
    <w:name w:val="toc 7"/>
    <w:basedOn w:val="Normal"/>
    <w:next w:val="Normal"/>
    <w:autoRedefine/>
    <w:rsid w:val="00C578B8"/>
    <w:pPr>
      <w:ind w:left="1440"/>
    </w:pPr>
  </w:style>
  <w:style w:type="paragraph" w:styleId="TOC8">
    <w:name w:val="toc 8"/>
    <w:basedOn w:val="Normal"/>
    <w:next w:val="Normal"/>
    <w:autoRedefine/>
    <w:rsid w:val="00C578B8"/>
    <w:pPr>
      <w:ind w:left="1680"/>
    </w:pPr>
  </w:style>
  <w:style w:type="paragraph" w:styleId="TOC9">
    <w:name w:val="toc 9"/>
    <w:basedOn w:val="Normal"/>
    <w:next w:val="Normal"/>
    <w:autoRedefine/>
    <w:rsid w:val="00C578B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C578B8"/>
    <w:pPr>
      <w:keepLines w:val="0"/>
      <w:spacing w:before="240" w:after="60"/>
      <w:outlineLvl w:val="9"/>
    </w:pPr>
    <w:rPr>
      <w:rFonts w:ascii="Cambria" w:hAnsi="Cambria"/>
      <w:color w:val="auto"/>
      <w:kern w:val="32"/>
      <w:szCs w:val="32"/>
    </w:rPr>
  </w:style>
  <w:style w:type="table" w:styleId="ColorfulGrid">
    <w:name w:val="Colorful Grid"/>
    <w:basedOn w:val="TableNormal"/>
    <w:uiPriority w:val="73"/>
    <w:rsid w:val="0067005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67005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67005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67005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67005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67005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67005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67005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67005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67005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67005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67005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67005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67005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67005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67005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67005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67005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67005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67005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67005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67005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67005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67005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67005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67005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67005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67005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67005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67005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67005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67005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67005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67005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67005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67005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67005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67005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67005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67005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67005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67005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6700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67005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67005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7005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7005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67005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67005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67005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67005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6700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67005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67005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67005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67005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67005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67005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67005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67005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67005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67005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67005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6700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67005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67005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67005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67005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67005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67005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700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7005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005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700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7005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7005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7005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7005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700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700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700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700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700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700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700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rsid w:val="0067005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7005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7005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7005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7005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7005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7005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7005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7005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7005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7005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7005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7005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7005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7005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7005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7005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70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rsid w:val="0067005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7005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7005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7005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7005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7005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7005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7005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7005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7005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7005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7005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7005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7005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7005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7005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7005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7005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7005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7005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7005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7005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700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7005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7005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7005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title">
    <w:name w:val="Footer title"/>
    <w:basedOn w:val="Footer"/>
    <w:rsid w:val="00084FA0"/>
    <w:pPr>
      <w:tabs>
        <w:tab w:val="clear" w:pos="4153"/>
        <w:tab w:val="clear" w:pos="8306"/>
        <w:tab w:val="center" w:pos="4320"/>
        <w:tab w:val="right" w:pos="8640"/>
      </w:tabs>
      <w:spacing w:after="160"/>
      <w:jc w:val="left"/>
    </w:pPr>
    <w:rPr>
      <w:color w:val="385479"/>
      <w:sz w:val="14"/>
      <w:szCs w:val="20"/>
      <w:lang w:val="en-US"/>
    </w:rPr>
  </w:style>
  <w:style w:type="character" w:customStyle="1" w:styleId="FooterChar">
    <w:name w:val="Footer Char"/>
    <w:link w:val="Footer"/>
    <w:rsid w:val="009E2C94"/>
    <w:rPr>
      <w:rFonts w:ascii="Arial" w:hAnsi="Arial"/>
      <w:sz w:val="24"/>
      <w:szCs w:val="24"/>
      <w:lang w:eastAsia="en-US"/>
    </w:rPr>
  </w:style>
  <w:style w:type="table" w:styleId="GridTable2-Accent2">
    <w:name w:val="Grid Table 2 Accent 2"/>
    <w:basedOn w:val="TableNormal"/>
    <w:uiPriority w:val="47"/>
    <w:rsid w:val="003440D5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3-Accent2">
    <w:name w:val="Grid Table 3 Accent 2"/>
    <w:basedOn w:val="TableNormal"/>
    <w:uiPriority w:val="48"/>
    <w:rsid w:val="0024139D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4-Accent2">
    <w:name w:val="Grid Table 4 Accent 2"/>
    <w:basedOn w:val="TableNormal"/>
    <w:uiPriority w:val="49"/>
    <w:rsid w:val="0024139D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D\Templates\TPNoCov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C39F3B3B96C1F4B98517E6443C184DE" ma:contentTypeVersion="12" ma:contentTypeDescription="Create a new document." ma:contentTypeScope="" ma:versionID="7fd6e5eedbd6d6bbc4f050dbc7b7190a">
  <xsd:schema xmlns:xsd="http://www.w3.org/2001/XMLSchema" xmlns:xs="http://www.w3.org/2001/XMLSchema" xmlns:p="http://schemas.microsoft.com/office/2006/metadata/properties" xmlns:ns2="0c56a47d-469b-460c-81a1-345d54cdeeee" targetNamespace="http://schemas.microsoft.com/office/2006/metadata/properties" ma:root="true" ma:fieldsID="92f4de51a2ba04263f7c8fc2be9dabf8" ns2:_="">
    <xsd:import namespace="0c56a47d-469b-460c-81a1-345d54cdeeee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a47d-469b-460c-81a1-345d54cdeeee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Documentation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jor Private Project Status Report"/>
          <xsd:enumeration value="Map"/>
          <xsd:enumeration value="Memorandum"/>
          <xsd:enumeration value="Ministerial"/>
          <xsd:enumeration value="Minutes"/>
          <xsd:enumeration value="Note"/>
          <xsd:enumeration value="Official Presentation"/>
          <xsd:enumeration value="Official Presentations"/>
          <xsd:enumeration value="Operational Plan"/>
          <xsd:enumeration value="Other"/>
          <xsd:enumeration value="Permit"/>
          <xsd:enumeration value="Photos"/>
          <xsd:enumeration value="Policy"/>
          <xsd:enumeration value="Post Implementation Review"/>
          <xsd:enumeration value="Press Clipping"/>
          <xsd:enumeration value="Press Release"/>
          <xsd:enumeration value="Procurement"/>
          <xsd:enumeration value="Procedure"/>
          <xsd:enumeration value="Project Plan"/>
          <xsd:enumeration value="Project Proposal"/>
          <xsd:enumeration value="Quote"/>
          <xsd:enumeration value="Report"/>
          <xsd:enumeration value="Service Level Worksheets"/>
          <xsd:enumeration value="Speech"/>
          <xsd:enumeration value="Standard Project Data"/>
          <xsd:enumeration value="State Initiated Status Report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c37dfbe-9a1a-4235-abd7-8bc54474f3d7" ContentTypeId="0x0101000AC6246A9CD2FC45B52DC6FEC0F0AAA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0c56a47d-469b-460c-81a1-345d54cdeeee" xsi:nil="true"/>
    <OurDocsVersionCreatedAt xmlns="0c56a47d-469b-460c-81a1-345d54cdeeee">2020-11-03T01:55:45+00:00</OurDocsVersionCreatedAt>
    <OurDocsDocId xmlns="0c56a47d-469b-460c-81a1-345d54cdeeee">001944policy.data</OurDocsDocId>
    <OurDocsDocumentSource xmlns="0c56a47d-469b-460c-81a1-345d54cdeeee">Internal</OurDocsDocumentSource>
    <OurDocsFileNumbers xmlns="0c56a47d-469b-460c-81a1-345d54cdeeee" xsi:nil="true"/>
    <OurDocsLocation xmlns="0c56a47d-469b-460c-81a1-345d54cdeeee">Perth</OurDocsLocation>
    <OurDocsDataStore xmlns="0c56a47d-469b-460c-81a1-345d54cdeeee">Central</OurDocsDataStore>
    <OurDocsReleaseClassification xmlns="0c56a47d-469b-460c-81a1-345d54cdeeee">For Public Release</OurDocsReleaseClassification>
    <OurDocsTitle xmlns="0c56a47d-469b-460c-81a1-345d54cdeeee">WA Iron Ore Profile - October 2020</OurDocsTitle>
    <OurDocsLockedOnBehalfOf xmlns="0c56a47d-469b-460c-81a1-345d54cdeeee" xsi:nil="true"/>
    <OurDocsVersionNumber xmlns="0c56a47d-469b-460c-81a1-345d54cdeeee">1</OurDocsVersionNumber>
    <OurDocsAuthor xmlns="0c56a47d-469b-460c-81a1-345d54cdeeee">THOMAS, Mike</OurDocsAuthor>
    <OurDocsDescription xmlns="0c56a47d-469b-460c-81a1-345d54cdeeee" xsi:nil="true"/>
    <OurDocsVersionCreatedBy xmlns="0c56a47d-469b-460c-81a1-345d54cdeeee">MIDSDMT</OurDocsVersionCreatedBy>
    <OurDocsIsLocked xmlns="0c56a47d-469b-460c-81a1-345d54cdeeee">false</OurDocsIsLocked>
    <OurDocsDocumentType xmlns="0c56a47d-469b-460c-81a1-345d54cdeeee">Web Document</OurDocsDocumentType>
    <OurDocsIsRecordsDocument xmlns="0c56a47d-469b-460c-81a1-345d54cdeeee">false</OurDocsIsRecordsDocument>
    <OurDocsDocumentDate xmlns="0c56a47d-469b-460c-81a1-345d54cdeeee">2020-11-02T16:00:00+00:00</OurDocsDocumentDate>
    <OurDocsLockedBy xmlns="0c56a47d-469b-460c-81a1-345d54cdeeee" xsi:nil="true"/>
    <OurDocsLockedOn xmlns="0c56a47d-469b-460c-81a1-345d54cdeee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92AE-9A56-405F-8291-409D5C67D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6a47d-469b-460c-81a1-345d54cd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E4CDE-B922-422B-805B-AEBF62B872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6DFC1D6-16EF-47C5-B6CE-7684756E9A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B2DC3-6EF5-44A7-AEB8-8D143B0938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56a47d-469b-460c-81a1-345d54cdeee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614D22C-0C0C-47B3-AB06-6ADF4EF6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TPNoCover</Template>
  <TotalTime>0</TotalTime>
  <Pages>4</Pages>
  <Words>1745</Words>
  <Characters>8867</Characters>
  <Application>Microsoft Office Word</Application>
  <DocSecurity>0</DocSecurity>
  <Lines>466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Iron Ore Profile - October 2020</vt:lpstr>
    </vt:vector>
  </TitlesOfParts>
  <Company>Department of Industry and Resources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Iron Ore Profile - October 2020</dc:title>
  <dc:subject/>
  <dc:creator>THOMAS, Mike</dc:creator>
  <cp:keywords/>
  <dc:description/>
  <cp:lastModifiedBy>THOMAS, Mike</cp:lastModifiedBy>
  <cp:revision>2</cp:revision>
  <cp:lastPrinted>2018-05-25T03:52:00Z</cp:lastPrinted>
  <dcterms:created xsi:type="dcterms:W3CDTF">2020-11-03T03:18:00Z</dcterms:created>
  <dcterms:modified xsi:type="dcterms:W3CDTF">2020-11-03T03:18:00Z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RecordsDocument">
    <vt:bool>true</vt:bool>
  </property>
  <property fmtid="{D5CDD505-2E9C-101B-9397-08002B2CF9AE}" pid="3" name="ContentTypeId">
    <vt:lpwstr>0x0101000AC6246A9CD2FC45B52DC6FEC0F0AAAA002C39F3B3B96C1F4B98517E6443C184DE</vt:lpwstr>
  </property>
  <property fmtid="{D5CDD505-2E9C-101B-9397-08002B2CF9AE}" pid="4" name="DataStore">
    <vt:lpwstr>Central</vt:lpwstr>
  </property>
</Properties>
</file>