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1659D" w14:textId="77777777" w:rsidR="007C6279" w:rsidRPr="00CC6E8F" w:rsidRDefault="007C6279" w:rsidP="007C6279">
      <w:pPr>
        <w:rPr>
          <w:rFonts w:cs="Arial"/>
          <w:sz w:val="4"/>
          <w:szCs w:val="20"/>
        </w:rPr>
      </w:pPr>
      <w:bookmarkStart w:id="0" w:name="_GoBack"/>
      <w:bookmarkEnd w:id="0"/>
    </w:p>
    <w:tbl>
      <w:tblPr>
        <w:tblW w:w="10632"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7C6279" w:rsidRPr="00E84F58" w14:paraId="298C4797" w14:textId="77777777" w:rsidTr="00E544E4">
        <w:tc>
          <w:tcPr>
            <w:tcW w:w="10632" w:type="dxa"/>
            <w:tcBorders>
              <w:top w:val="nil"/>
              <w:left w:val="nil"/>
              <w:bottom w:val="nil"/>
              <w:right w:val="nil"/>
            </w:tcBorders>
            <w:shd w:val="clear" w:color="auto" w:fill="D9D9D9"/>
          </w:tcPr>
          <w:p w14:paraId="5E2416D1" w14:textId="77777777" w:rsidR="007C6279" w:rsidRPr="00C90210" w:rsidRDefault="007C6279" w:rsidP="00E544E4">
            <w:pPr>
              <w:jc w:val="center"/>
              <w:rPr>
                <w:rFonts w:cs="Arial"/>
                <w:b/>
                <w:color w:val="C0504D"/>
                <w:sz w:val="20"/>
                <w:szCs w:val="20"/>
              </w:rPr>
            </w:pPr>
            <w:r>
              <w:rPr>
                <w:rFonts w:cs="Arial"/>
                <w:b/>
                <w:color w:val="C0504D"/>
                <w:sz w:val="20"/>
                <w:szCs w:val="20"/>
              </w:rPr>
              <w:t xml:space="preserve">WORLD BATTERY MINERALS </w:t>
            </w:r>
            <w:r w:rsidRPr="00C90210">
              <w:rPr>
                <w:rFonts w:cs="Arial"/>
                <w:b/>
                <w:color w:val="C0504D"/>
                <w:sz w:val="20"/>
                <w:szCs w:val="20"/>
              </w:rPr>
              <w:t>M</w:t>
            </w:r>
            <w:r>
              <w:rPr>
                <w:rFonts w:cs="Arial"/>
                <w:b/>
                <w:color w:val="C0504D"/>
                <w:sz w:val="20"/>
                <w:szCs w:val="20"/>
              </w:rPr>
              <w:t>ARKET</w:t>
            </w:r>
          </w:p>
        </w:tc>
      </w:tr>
    </w:tbl>
    <w:p w14:paraId="05A32268" w14:textId="77777777" w:rsidR="007C6279"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7D47ECD8" w14:textId="77777777" w:rsidTr="00E544E4">
        <w:tc>
          <w:tcPr>
            <w:tcW w:w="6661" w:type="dxa"/>
            <w:shd w:val="clear" w:color="auto" w:fill="C0504D"/>
          </w:tcPr>
          <w:p w14:paraId="5E6BAC3F" w14:textId="77777777" w:rsidR="007C6279" w:rsidRPr="003E23B3" w:rsidRDefault="007C6279" w:rsidP="00E544E4">
            <w:pPr>
              <w:jc w:val="center"/>
              <w:rPr>
                <w:rFonts w:cs="Arial"/>
                <w:color w:val="FFFFFF"/>
                <w:sz w:val="20"/>
                <w:szCs w:val="20"/>
              </w:rPr>
            </w:pPr>
            <w:r w:rsidRPr="003E23B3">
              <w:rPr>
                <w:rFonts w:cs="Arial"/>
                <w:color w:val="FFFFFF"/>
                <w:sz w:val="20"/>
                <w:szCs w:val="20"/>
              </w:rPr>
              <w:t>Major global battery minerals</w:t>
            </w:r>
            <w:r>
              <w:rPr>
                <w:rFonts w:cs="Arial"/>
                <w:color w:val="FFFFFF"/>
                <w:sz w:val="20"/>
                <w:szCs w:val="20"/>
              </w:rPr>
              <w:t xml:space="preserve"> mine production: 2019</w:t>
            </w:r>
          </w:p>
        </w:tc>
        <w:tc>
          <w:tcPr>
            <w:tcW w:w="3969" w:type="dxa"/>
            <w:vMerge w:val="restart"/>
            <w:shd w:val="clear" w:color="auto" w:fill="auto"/>
            <w:vAlign w:val="center"/>
          </w:tcPr>
          <w:p w14:paraId="63BBDD21" w14:textId="77777777" w:rsidR="007C6279" w:rsidRDefault="007C6279" w:rsidP="00E544E4">
            <w:pPr>
              <w:numPr>
                <w:ilvl w:val="0"/>
                <w:numId w:val="12"/>
              </w:numPr>
              <w:rPr>
                <w:rFonts w:cs="Arial"/>
                <w:sz w:val="18"/>
                <w:szCs w:val="20"/>
              </w:rPr>
            </w:pPr>
            <w:r>
              <w:rPr>
                <w:rFonts w:cs="Arial"/>
                <w:sz w:val="18"/>
                <w:szCs w:val="20"/>
              </w:rPr>
              <w:t>Western Australia is the world’s largest lithium producer and a significant producer of other battery minerals.</w:t>
            </w:r>
          </w:p>
          <w:p w14:paraId="391F1893" w14:textId="77777777" w:rsidR="007C6279" w:rsidRDefault="007C6279" w:rsidP="00E544E4">
            <w:pPr>
              <w:numPr>
                <w:ilvl w:val="0"/>
                <w:numId w:val="12"/>
              </w:numPr>
              <w:rPr>
                <w:rFonts w:cs="Arial"/>
                <w:sz w:val="18"/>
                <w:szCs w:val="20"/>
              </w:rPr>
            </w:pPr>
            <w:r>
              <w:rPr>
                <w:rFonts w:cs="Arial"/>
                <w:sz w:val="18"/>
                <w:szCs w:val="20"/>
              </w:rPr>
              <w:t>Western Australia accounted for 52% of global lithium production in 2019, followed by Chile (23%), China (10%) and Argentina (8%).</w:t>
            </w:r>
          </w:p>
          <w:p w14:paraId="78FE9438" w14:textId="65C4492C" w:rsidR="007C6279" w:rsidRDefault="007C6279" w:rsidP="00E544E4">
            <w:pPr>
              <w:numPr>
                <w:ilvl w:val="0"/>
                <w:numId w:val="12"/>
              </w:numPr>
              <w:rPr>
                <w:rFonts w:cs="Arial"/>
                <w:sz w:val="18"/>
                <w:szCs w:val="20"/>
              </w:rPr>
            </w:pPr>
            <w:r>
              <w:rPr>
                <w:rFonts w:cs="Arial"/>
                <w:sz w:val="18"/>
                <w:szCs w:val="20"/>
              </w:rPr>
              <w:t xml:space="preserve">Western Australia also ranked among the top </w:t>
            </w:r>
            <w:r w:rsidR="00C605C4">
              <w:rPr>
                <w:rFonts w:cs="Arial"/>
                <w:sz w:val="18"/>
                <w:szCs w:val="20"/>
              </w:rPr>
              <w:t>5</w:t>
            </w:r>
            <w:r>
              <w:rPr>
                <w:rFonts w:cs="Arial"/>
                <w:sz w:val="18"/>
                <w:szCs w:val="20"/>
              </w:rPr>
              <w:t xml:space="preserve"> global producers for cobalt (4% global share), rare earths (10%) and nickel (7%) in 2019.</w:t>
            </w:r>
          </w:p>
          <w:p w14:paraId="598919DC" w14:textId="77777777" w:rsidR="007C6279" w:rsidRDefault="007C6279" w:rsidP="00E544E4">
            <w:pPr>
              <w:numPr>
                <w:ilvl w:val="0"/>
                <w:numId w:val="12"/>
              </w:numPr>
              <w:rPr>
                <w:rFonts w:cs="Arial"/>
                <w:sz w:val="18"/>
                <w:szCs w:val="20"/>
              </w:rPr>
            </w:pPr>
            <w:r>
              <w:rPr>
                <w:rFonts w:cs="Arial"/>
                <w:sz w:val="18"/>
                <w:szCs w:val="20"/>
              </w:rPr>
              <w:t>China was the world’s largest producer of graphite (64%), rare earths (63%) and vanadium (55%) in 2019, and a significant producer of all other battery minerals.</w:t>
            </w:r>
          </w:p>
          <w:p w14:paraId="7BB1EDF3" w14:textId="77777777" w:rsidR="007C6279" w:rsidRDefault="007C6279" w:rsidP="00E544E4">
            <w:pPr>
              <w:numPr>
                <w:ilvl w:val="0"/>
                <w:numId w:val="12"/>
              </w:numPr>
              <w:rPr>
                <w:rFonts w:cs="Arial"/>
                <w:sz w:val="20"/>
                <w:szCs w:val="20"/>
              </w:rPr>
            </w:pPr>
            <w:r>
              <w:rPr>
                <w:rFonts w:cs="Arial"/>
                <w:sz w:val="18"/>
                <w:szCs w:val="20"/>
              </w:rPr>
              <w:t>In 2019, the world’s largest producer of:</w:t>
            </w:r>
          </w:p>
          <w:p w14:paraId="74028C18" w14:textId="77777777" w:rsidR="007C6279" w:rsidRPr="00977C52" w:rsidRDefault="007C6279" w:rsidP="00E544E4">
            <w:pPr>
              <w:numPr>
                <w:ilvl w:val="1"/>
                <w:numId w:val="12"/>
              </w:numPr>
              <w:ind w:left="745" w:hanging="288"/>
              <w:rPr>
                <w:rFonts w:cs="Arial"/>
                <w:sz w:val="18"/>
                <w:szCs w:val="20"/>
              </w:rPr>
            </w:pPr>
            <w:r>
              <w:rPr>
                <w:rFonts w:cs="Arial"/>
                <w:sz w:val="18"/>
                <w:szCs w:val="20"/>
              </w:rPr>
              <w:t>Nickel was Indonesia (30%).</w:t>
            </w:r>
          </w:p>
          <w:p w14:paraId="20C568A3" w14:textId="77777777" w:rsidR="007C6279" w:rsidRPr="00977C52" w:rsidRDefault="007C6279" w:rsidP="00E544E4">
            <w:pPr>
              <w:numPr>
                <w:ilvl w:val="1"/>
                <w:numId w:val="12"/>
              </w:numPr>
              <w:ind w:left="745" w:hanging="288"/>
              <w:rPr>
                <w:rFonts w:cs="Arial"/>
                <w:sz w:val="18"/>
                <w:szCs w:val="20"/>
              </w:rPr>
            </w:pPr>
            <w:r>
              <w:rPr>
                <w:rFonts w:cs="Arial"/>
                <w:sz w:val="18"/>
                <w:szCs w:val="20"/>
              </w:rPr>
              <w:t>Cobalt was Congo (71%).</w:t>
            </w:r>
          </w:p>
          <w:p w14:paraId="504BE8B1" w14:textId="77777777" w:rsidR="007C6279" w:rsidRPr="00977C52" w:rsidRDefault="007C6279" w:rsidP="00E544E4">
            <w:pPr>
              <w:numPr>
                <w:ilvl w:val="1"/>
                <w:numId w:val="12"/>
              </w:numPr>
              <w:ind w:left="745" w:hanging="288"/>
              <w:rPr>
                <w:rFonts w:cs="Arial"/>
                <w:sz w:val="18"/>
                <w:szCs w:val="20"/>
              </w:rPr>
            </w:pPr>
            <w:r>
              <w:rPr>
                <w:rFonts w:cs="Arial"/>
                <w:sz w:val="18"/>
                <w:szCs w:val="20"/>
              </w:rPr>
              <w:t>Manganese was South Africa (29%).</w:t>
            </w:r>
          </w:p>
          <w:p w14:paraId="0B2A9FFA" w14:textId="77777777" w:rsidR="007C6279" w:rsidRPr="00F06119" w:rsidRDefault="007C6279" w:rsidP="00E544E4">
            <w:pPr>
              <w:numPr>
                <w:ilvl w:val="1"/>
                <w:numId w:val="12"/>
              </w:numPr>
              <w:ind w:left="745" w:hanging="288"/>
              <w:rPr>
                <w:rFonts w:cs="Arial"/>
                <w:sz w:val="20"/>
                <w:szCs w:val="20"/>
              </w:rPr>
            </w:pPr>
            <w:r>
              <w:rPr>
                <w:rFonts w:cs="Arial"/>
                <w:sz w:val="18"/>
                <w:szCs w:val="20"/>
              </w:rPr>
              <w:t>Copper was Chile (28%).</w:t>
            </w:r>
          </w:p>
        </w:tc>
      </w:tr>
      <w:tr w:rsidR="007C6279" w:rsidRPr="00E84F58" w14:paraId="0BD25CDF" w14:textId="77777777" w:rsidTr="00E544E4">
        <w:tc>
          <w:tcPr>
            <w:tcW w:w="6661" w:type="dxa"/>
            <w:shd w:val="clear" w:color="auto" w:fill="auto"/>
          </w:tcPr>
          <w:p w14:paraId="4B560F0F" w14:textId="77777777" w:rsidR="007C6279" w:rsidRPr="00E84F58" w:rsidRDefault="00901C04" w:rsidP="00E544E4">
            <w:pPr>
              <w:jc w:val="center"/>
              <w:rPr>
                <w:rFonts w:cs="Arial"/>
                <w:sz w:val="20"/>
                <w:szCs w:val="20"/>
              </w:rPr>
            </w:pPr>
            <w:r>
              <w:rPr>
                <w:rFonts w:cs="Arial"/>
                <w:sz w:val="20"/>
                <w:szCs w:val="20"/>
              </w:rPr>
              <w:pict w14:anchorId="7C9BB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71pt;mso-left-percent:-10001;mso-top-percent:-10001;mso-position-horizontal:absolute;mso-position-horizontal-relative:char;mso-position-vertical:absolute;mso-position-vertical-relative:line;mso-left-percent:-10001;mso-top-percent:-10001">
                  <v:imagedata r:id="rId12" o:title=""/>
                </v:shape>
              </w:pict>
            </w:r>
          </w:p>
        </w:tc>
        <w:tc>
          <w:tcPr>
            <w:tcW w:w="3969" w:type="dxa"/>
            <w:vMerge/>
            <w:shd w:val="clear" w:color="auto" w:fill="auto"/>
          </w:tcPr>
          <w:p w14:paraId="3F8C7E34" w14:textId="77777777" w:rsidR="007C6279" w:rsidRPr="00E84F58" w:rsidRDefault="007C6279" w:rsidP="00E544E4">
            <w:pPr>
              <w:rPr>
                <w:rFonts w:cs="Arial"/>
                <w:sz w:val="20"/>
                <w:szCs w:val="20"/>
              </w:rPr>
            </w:pPr>
          </w:p>
        </w:tc>
      </w:tr>
      <w:tr w:rsidR="007C6279" w:rsidRPr="00E84F58" w14:paraId="62B30B1A" w14:textId="77777777" w:rsidTr="00E544E4">
        <w:tc>
          <w:tcPr>
            <w:tcW w:w="6661" w:type="dxa"/>
            <w:shd w:val="clear" w:color="auto" w:fill="auto"/>
          </w:tcPr>
          <w:p w14:paraId="20419188" w14:textId="77777777" w:rsidR="007C6279" w:rsidRDefault="007C6279" w:rsidP="00E544E4">
            <w:pPr>
              <w:rPr>
                <w:rFonts w:cs="Arial"/>
                <w:sz w:val="10"/>
                <w:szCs w:val="20"/>
              </w:rPr>
            </w:pPr>
            <w:r w:rsidRPr="00F921A9">
              <w:rPr>
                <w:rFonts w:cs="Arial"/>
                <w:sz w:val="10"/>
                <w:szCs w:val="20"/>
              </w:rPr>
              <w:t>(a) Lithium content of brine, spodumene, other hard rock or clay mine production. (b)</w:t>
            </w:r>
            <w:r>
              <w:rPr>
                <w:rFonts w:cs="Arial"/>
                <w:sz w:val="10"/>
                <w:szCs w:val="20"/>
              </w:rPr>
              <w:t xml:space="preserve"> Excludes China.</w:t>
            </w:r>
          </w:p>
          <w:p w14:paraId="0E78E2EE" w14:textId="77777777" w:rsidR="007C6279" w:rsidRPr="0006430D" w:rsidRDefault="007C6279" w:rsidP="00E544E4">
            <w:pPr>
              <w:rPr>
                <w:rFonts w:cs="Arial"/>
                <w:sz w:val="10"/>
                <w:szCs w:val="20"/>
              </w:rPr>
            </w:pPr>
            <w:r>
              <w:rPr>
                <w:rFonts w:cs="Arial"/>
                <w:sz w:val="10"/>
                <w:szCs w:val="20"/>
              </w:rPr>
              <w:t>Source: US Geological Survey, Mineral Commodity Summaries; Office of the Chief Economist, Resources and Energy Quarterly; and Geoscience Australia.</w:t>
            </w:r>
          </w:p>
        </w:tc>
        <w:tc>
          <w:tcPr>
            <w:tcW w:w="3969" w:type="dxa"/>
            <w:vMerge/>
            <w:shd w:val="clear" w:color="auto" w:fill="auto"/>
          </w:tcPr>
          <w:p w14:paraId="4EA673BD" w14:textId="77777777" w:rsidR="007C6279" w:rsidRPr="00E84F58" w:rsidRDefault="007C6279" w:rsidP="00E544E4">
            <w:pPr>
              <w:rPr>
                <w:rFonts w:cs="Arial"/>
                <w:sz w:val="20"/>
                <w:szCs w:val="20"/>
              </w:rPr>
            </w:pPr>
          </w:p>
        </w:tc>
      </w:tr>
    </w:tbl>
    <w:p w14:paraId="09BDBE70" w14:textId="77777777" w:rsidR="007C6279"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480C6DAF" w14:textId="77777777" w:rsidTr="00E544E4">
        <w:tc>
          <w:tcPr>
            <w:tcW w:w="6661" w:type="dxa"/>
            <w:shd w:val="clear" w:color="auto" w:fill="C0504D"/>
          </w:tcPr>
          <w:p w14:paraId="4F3F87EF" w14:textId="77777777" w:rsidR="007C6279" w:rsidRPr="00E84F58" w:rsidRDefault="007C6279" w:rsidP="00E544E4">
            <w:pPr>
              <w:jc w:val="center"/>
              <w:rPr>
                <w:rFonts w:cs="Arial"/>
                <w:sz w:val="20"/>
                <w:szCs w:val="20"/>
              </w:rPr>
            </w:pPr>
            <w:r>
              <w:rPr>
                <w:rFonts w:cs="Arial"/>
                <w:color w:val="FFFFFF"/>
                <w:sz w:val="20"/>
                <w:szCs w:val="20"/>
              </w:rPr>
              <w:t>World lithium-ion battery manufacturing capacity forecast</w:t>
            </w:r>
            <w:r w:rsidRPr="004442EF">
              <w:rPr>
                <w:rFonts w:cs="Arial"/>
                <w:color w:val="FFFFFF"/>
                <w:sz w:val="20"/>
                <w:szCs w:val="20"/>
                <w:vertAlign w:val="superscript"/>
              </w:rPr>
              <w:t>1</w:t>
            </w:r>
          </w:p>
        </w:tc>
        <w:tc>
          <w:tcPr>
            <w:tcW w:w="3969" w:type="dxa"/>
            <w:vMerge w:val="restart"/>
            <w:shd w:val="clear" w:color="auto" w:fill="auto"/>
            <w:vAlign w:val="center"/>
          </w:tcPr>
          <w:p w14:paraId="534EACF9" w14:textId="69946355" w:rsidR="007C6279" w:rsidRDefault="00F63586" w:rsidP="00E544E4">
            <w:pPr>
              <w:numPr>
                <w:ilvl w:val="0"/>
                <w:numId w:val="12"/>
              </w:numPr>
              <w:rPr>
                <w:rFonts w:cs="Arial"/>
                <w:sz w:val="18"/>
                <w:szCs w:val="20"/>
              </w:rPr>
            </w:pPr>
            <w:r>
              <w:rPr>
                <w:rFonts w:cs="Arial"/>
                <w:sz w:val="18"/>
                <w:szCs w:val="20"/>
              </w:rPr>
              <w:t>Lithium</w:t>
            </w:r>
            <w:r>
              <w:rPr>
                <w:rFonts w:cs="Arial"/>
                <w:sz w:val="18"/>
                <w:szCs w:val="20"/>
              </w:rPr>
              <w:noBreakHyphen/>
            </w:r>
            <w:r w:rsidR="007C6279">
              <w:rPr>
                <w:rFonts w:cs="Arial"/>
                <w:sz w:val="18"/>
                <w:szCs w:val="20"/>
              </w:rPr>
              <w:t>ion batteries are made from mostly lithium, graphite, nickel, cobalt and manganese.</w:t>
            </w:r>
          </w:p>
          <w:p w14:paraId="0C4E9B6F" w14:textId="610AF6D3" w:rsidR="007C6279" w:rsidRPr="00954BD3" w:rsidRDefault="007C6279" w:rsidP="00E544E4">
            <w:pPr>
              <w:numPr>
                <w:ilvl w:val="0"/>
                <w:numId w:val="12"/>
              </w:numPr>
              <w:rPr>
                <w:rFonts w:cs="Arial"/>
                <w:sz w:val="18"/>
                <w:szCs w:val="20"/>
              </w:rPr>
            </w:pPr>
            <w:r w:rsidRPr="00954BD3">
              <w:rPr>
                <w:rFonts w:cs="Arial"/>
                <w:sz w:val="18"/>
                <w:szCs w:val="20"/>
              </w:rPr>
              <w:t>World lithium</w:t>
            </w:r>
            <w:r w:rsidR="00F63586">
              <w:rPr>
                <w:rFonts w:cs="Arial"/>
                <w:sz w:val="18"/>
                <w:szCs w:val="20"/>
              </w:rPr>
              <w:noBreakHyphen/>
            </w:r>
            <w:r w:rsidRPr="00954BD3">
              <w:rPr>
                <w:rFonts w:cs="Arial"/>
                <w:sz w:val="18"/>
                <w:szCs w:val="20"/>
              </w:rPr>
              <w:t>ion battery manufacturing capacity rose 54% to 335 gigawatt hours (GWh) in 2018.</w:t>
            </w:r>
          </w:p>
          <w:p w14:paraId="3EADB609" w14:textId="77777777" w:rsidR="007C6279" w:rsidRPr="00954BD3" w:rsidRDefault="007C6279" w:rsidP="00E544E4">
            <w:pPr>
              <w:numPr>
                <w:ilvl w:val="0"/>
                <w:numId w:val="12"/>
              </w:numPr>
              <w:rPr>
                <w:rFonts w:cs="Arial"/>
                <w:sz w:val="18"/>
                <w:szCs w:val="20"/>
              </w:rPr>
            </w:pPr>
            <w:r w:rsidRPr="00954BD3">
              <w:rPr>
                <w:rFonts w:cs="Arial"/>
                <w:sz w:val="18"/>
                <w:szCs w:val="20"/>
              </w:rPr>
              <w:t>China accounted for 74% of global lithium</w:t>
            </w:r>
            <w:r w:rsidRPr="00954BD3">
              <w:rPr>
                <w:rFonts w:cs="Arial"/>
                <w:sz w:val="18"/>
                <w:szCs w:val="20"/>
              </w:rPr>
              <w:noBreakHyphen/>
              <w:t>ion battery manufacturing capacity in 2018, followed by the United States (9%), Japan (8%), South Korea (4%) and Europe (3%).</w:t>
            </w:r>
          </w:p>
          <w:p w14:paraId="292D4067" w14:textId="77777777" w:rsidR="007C6279" w:rsidRPr="00D873C4" w:rsidRDefault="007C6279" w:rsidP="00E544E4">
            <w:pPr>
              <w:numPr>
                <w:ilvl w:val="0"/>
                <w:numId w:val="12"/>
              </w:numPr>
              <w:rPr>
                <w:rFonts w:cs="Arial"/>
                <w:sz w:val="18"/>
                <w:szCs w:val="20"/>
              </w:rPr>
            </w:pPr>
            <w:r w:rsidRPr="00954BD3">
              <w:rPr>
                <w:rFonts w:cs="Arial"/>
                <w:sz w:val="18"/>
                <w:szCs w:val="20"/>
              </w:rPr>
              <w:t xml:space="preserve">Roskill forecasts global lithium-ion battery manufacturing capacity will quadruple to 1,340GWh by 2028, </w:t>
            </w:r>
            <w:r>
              <w:rPr>
                <w:rFonts w:cs="Arial"/>
                <w:sz w:val="18"/>
                <w:szCs w:val="20"/>
              </w:rPr>
              <w:t>with</w:t>
            </w:r>
            <w:r w:rsidRPr="00954BD3">
              <w:rPr>
                <w:rFonts w:cs="Arial"/>
                <w:sz w:val="18"/>
                <w:szCs w:val="20"/>
              </w:rPr>
              <w:t xml:space="preserve"> 65% of </w:t>
            </w:r>
            <w:r>
              <w:rPr>
                <w:rFonts w:cs="Arial"/>
                <w:sz w:val="18"/>
                <w:szCs w:val="20"/>
              </w:rPr>
              <w:t>this</w:t>
            </w:r>
            <w:r w:rsidRPr="00954BD3">
              <w:rPr>
                <w:rFonts w:cs="Arial"/>
                <w:sz w:val="18"/>
                <w:szCs w:val="20"/>
              </w:rPr>
              <w:t xml:space="preserve"> capacity in China, followed by the United States (10%), Europe</w:t>
            </w:r>
            <w:r w:rsidRPr="00954BD3">
              <w:rPr>
                <w:rFonts w:cs="Arial"/>
                <w:sz w:val="18"/>
                <w:szCs w:val="20"/>
                <w:vertAlign w:val="superscript"/>
              </w:rPr>
              <w:t xml:space="preserve"> </w:t>
            </w:r>
            <w:r w:rsidRPr="00954BD3">
              <w:rPr>
                <w:rFonts w:cs="Arial"/>
                <w:sz w:val="18"/>
                <w:szCs w:val="20"/>
              </w:rPr>
              <w:t>(9%), Japan (6%) and South Korea (5%).</w:t>
            </w:r>
          </w:p>
        </w:tc>
      </w:tr>
      <w:tr w:rsidR="007C6279" w:rsidRPr="00E84F58" w14:paraId="055A2F46" w14:textId="77777777" w:rsidTr="00E544E4">
        <w:tc>
          <w:tcPr>
            <w:tcW w:w="6661" w:type="dxa"/>
            <w:shd w:val="clear" w:color="auto" w:fill="auto"/>
          </w:tcPr>
          <w:p w14:paraId="1FD8AA3E" w14:textId="77777777" w:rsidR="007C6279" w:rsidRPr="00E84F58" w:rsidRDefault="00901C04" w:rsidP="00E544E4">
            <w:pPr>
              <w:jc w:val="center"/>
              <w:rPr>
                <w:rFonts w:cs="Arial"/>
                <w:sz w:val="20"/>
                <w:szCs w:val="20"/>
              </w:rPr>
            </w:pPr>
            <w:r>
              <w:rPr>
                <w:rFonts w:cs="Arial"/>
                <w:sz w:val="20"/>
                <w:szCs w:val="20"/>
              </w:rPr>
              <w:pict w14:anchorId="7D2772CE">
                <v:shape id="_x0000_i1026" type="#_x0000_t75" style="width:267pt;height:160pt;mso-left-percent:-10001;mso-top-percent:-10001;mso-position-horizontal:absolute;mso-position-horizontal-relative:char;mso-position-vertical:absolute;mso-position-vertical-relative:line;mso-left-percent:-10001;mso-top-percent:-10001">
                  <v:imagedata r:id="rId13" o:title=""/>
                </v:shape>
              </w:pict>
            </w:r>
          </w:p>
        </w:tc>
        <w:tc>
          <w:tcPr>
            <w:tcW w:w="3969" w:type="dxa"/>
            <w:vMerge/>
            <w:shd w:val="clear" w:color="auto" w:fill="auto"/>
          </w:tcPr>
          <w:p w14:paraId="5607D3EE" w14:textId="77777777" w:rsidR="007C6279" w:rsidRPr="00E84F58" w:rsidRDefault="007C6279" w:rsidP="00E544E4">
            <w:pPr>
              <w:rPr>
                <w:rFonts w:cs="Arial"/>
                <w:sz w:val="20"/>
                <w:szCs w:val="20"/>
              </w:rPr>
            </w:pPr>
          </w:p>
        </w:tc>
      </w:tr>
      <w:tr w:rsidR="007C6279" w:rsidRPr="00E84F58" w14:paraId="6DCFF9DB" w14:textId="77777777" w:rsidTr="00E544E4">
        <w:tc>
          <w:tcPr>
            <w:tcW w:w="6661" w:type="dxa"/>
            <w:shd w:val="clear" w:color="auto" w:fill="auto"/>
          </w:tcPr>
          <w:p w14:paraId="6FD453CA" w14:textId="77777777" w:rsidR="007C6279" w:rsidRPr="00B22C9E" w:rsidRDefault="007C6279" w:rsidP="00E544E4">
            <w:pPr>
              <w:rPr>
                <w:rFonts w:cs="Arial"/>
                <w:sz w:val="10"/>
                <w:szCs w:val="20"/>
              </w:rPr>
            </w:pPr>
            <w:r w:rsidRPr="00B22C9E">
              <w:rPr>
                <w:rFonts w:cs="Arial"/>
                <w:sz w:val="10"/>
                <w:szCs w:val="20"/>
                <w:vertAlign w:val="superscript"/>
              </w:rPr>
              <w:t>1</w:t>
            </w:r>
            <w:r>
              <w:rPr>
                <w:rFonts w:cs="Arial"/>
                <w:sz w:val="10"/>
                <w:szCs w:val="20"/>
              </w:rPr>
              <w:t xml:space="preserve"> Large-sized cells</w:t>
            </w:r>
            <w:r w:rsidRPr="00B22C9E">
              <w:rPr>
                <w:rFonts w:cs="Arial"/>
                <w:sz w:val="10"/>
                <w:szCs w:val="20"/>
              </w:rPr>
              <w:t xml:space="preserve">. (a) </w:t>
            </w:r>
            <w:r>
              <w:rPr>
                <w:rFonts w:cs="Arial"/>
                <w:sz w:val="10"/>
                <w:szCs w:val="20"/>
              </w:rPr>
              <w:t>Sweden, Hungary, Germany, Poland, United Kingdom and France</w:t>
            </w:r>
            <w:r w:rsidRPr="00B22C9E">
              <w:rPr>
                <w:rFonts w:cs="Arial"/>
                <w:sz w:val="10"/>
                <w:szCs w:val="20"/>
              </w:rPr>
              <w:t>.</w:t>
            </w:r>
          </w:p>
          <w:p w14:paraId="3F9F5189" w14:textId="77777777" w:rsidR="007C6279" w:rsidRPr="00B22C9E" w:rsidRDefault="007C6279" w:rsidP="00E544E4">
            <w:pPr>
              <w:rPr>
                <w:rFonts w:cs="Arial"/>
                <w:sz w:val="10"/>
                <w:szCs w:val="20"/>
              </w:rPr>
            </w:pPr>
            <w:r w:rsidRPr="00B22C9E">
              <w:rPr>
                <w:rFonts w:cs="Arial"/>
                <w:sz w:val="10"/>
                <w:szCs w:val="20"/>
              </w:rPr>
              <w:t xml:space="preserve">Source: </w:t>
            </w:r>
            <w:r>
              <w:rPr>
                <w:rFonts w:cs="Arial"/>
                <w:sz w:val="10"/>
                <w:szCs w:val="20"/>
              </w:rPr>
              <w:t>Roskill</w:t>
            </w:r>
            <w:r w:rsidRPr="00B22C9E">
              <w:rPr>
                <w:rFonts w:cs="Arial"/>
                <w:sz w:val="10"/>
                <w:szCs w:val="20"/>
              </w:rPr>
              <w:t xml:space="preserve">, </w:t>
            </w:r>
            <w:r>
              <w:rPr>
                <w:rFonts w:cs="Arial"/>
                <w:sz w:val="10"/>
                <w:szCs w:val="20"/>
              </w:rPr>
              <w:t>Lithium-ion Batteries Outlook to 2028 (April 2019).</w:t>
            </w:r>
          </w:p>
        </w:tc>
        <w:tc>
          <w:tcPr>
            <w:tcW w:w="3969" w:type="dxa"/>
            <w:vMerge/>
            <w:shd w:val="clear" w:color="auto" w:fill="auto"/>
          </w:tcPr>
          <w:p w14:paraId="5E07D700" w14:textId="77777777" w:rsidR="007C6279" w:rsidRPr="00E84F58" w:rsidRDefault="007C6279" w:rsidP="00E544E4">
            <w:pPr>
              <w:rPr>
                <w:rFonts w:cs="Arial"/>
                <w:sz w:val="20"/>
                <w:szCs w:val="20"/>
              </w:rPr>
            </w:pPr>
          </w:p>
        </w:tc>
      </w:tr>
    </w:tbl>
    <w:p w14:paraId="5EB1451C" w14:textId="77777777" w:rsidR="007C6279"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37CBFD61" w14:textId="77777777" w:rsidTr="00E544E4">
        <w:tc>
          <w:tcPr>
            <w:tcW w:w="6661" w:type="dxa"/>
            <w:shd w:val="clear" w:color="auto" w:fill="C0504D"/>
          </w:tcPr>
          <w:p w14:paraId="51B53B6E" w14:textId="77777777" w:rsidR="007C6279" w:rsidRPr="00C90210" w:rsidRDefault="007C6279" w:rsidP="00E544E4">
            <w:pPr>
              <w:jc w:val="center"/>
              <w:rPr>
                <w:rFonts w:cs="Arial"/>
                <w:color w:val="FFFFFF"/>
                <w:sz w:val="20"/>
                <w:szCs w:val="20"/>
              </w:rPr>
            </w:pPr>
            <w:r>
              <w:rPr>
                <w:rFonts w:cs="Arial"/>
                <w:color w:val="FFFFFF"/>
                <w:sz w:val="20"/>
                <w:szCs w:val="20"/>
              </w:rPr>
              <w:t xml:space="preserve">Battery minerals </w:t>
            </w:r>
            <w:r w:rsidRPr="00C90210">
              <w:rPr>
                <w:rFonts w:cs="Arial"/>
                <w:color w:val="FFFFFF"/>
                <w:sz w:val="20"/>
                <w:szCs w:val="20"/>
              </w:rPr>
              <w:t>price</w:t>
            </w:r>
            <w:r>
              <w:rPr>
                <w:rFonts w:cs="Arial"/>
                <w:color w:val="FFFFFF"/>
                <w:sz w:val="20"/>
                <w:szCs w:val="20"/>
              </w:rPr>
              <w:t xml:space="preserve"> indexes</w:t>
            </w:r>
            <w:r w:rsidRPr="001E4064">
              <w:rPr>
                <w:rFonts w:cs="Arial"/>
                <w:color w:val="FFFFFF"/>
                <w:sz w:val="20"/>
                <w:szCs w:val="20"/>
                <w:vertAlign w:val="superscript"/>
              </w:rPr>
              <w:t>1</w:t>
            </w:r>
            <w:r>
              <w:rPr>
                <w:rFonts w:cs="Arial"/>
                <w:color w:val="FFFFFF"/>
                <w:sz w:val="20"/>
                <w:szCs w:val="20"/>
              </w:rPr>
              <w:t xml:space="preserve"> (annual average)</w:t>
            </w:r>
          </w:p>
        </w:tc>
        <w:tc>
          <w:tcPr>
            <w:tcW w:w="3969" w:type="dxa"/>
            <w:vMerge w:val="restart"/>
            <w:shd w:val="clear" w:color="auto" w:fill="auto"/>
            <w:vAlign w:val="center"/>
          </w:tcPr>
          <w:p w14:paraId="30B5D942" w14:textId="1D471286" w:rsidR="007C6279" w:rsidRPr="007D1998" w:rsidRDefault="007C6279" w:rsidP="00E544E4">
            <w:pPr>
              <w:numPr>
                <w:ilvl w:val="0"/>
                <w:numId w:val="12"/>
              </w:numPr>
              <w:rPr>
                <w:rFonts w:cs="Arial"/>
                <w:sz w:val="18"/>
                <w:szCs w:val="20"/>
              </w:rPr>
            </w:pPr>
            <w:r w:rsidRPr="007D1998">
              <w:rPr>
                <w:rFonts w:cs="Arial"/>
                <w:sz w:val="18"/>
                <w:szCs w:val="20"/>
              </w:rPr>
              <w:t xml:space="preserve">Lithium and </w:t>
            </w:r>
            <w:r w:rsidR="002159EE" w:rsidRPr="007D1998">
              <w:rPr>
                <w:rFonts w:cs="Arial"/>
                <w:sz w:val="18"/>
                <w:szCs w:val="20"/>
              </w:rPr>
              <w:t xml:space="preserve">most </w:t>
            </w:r>
            <w:r w:rsidRPr="007D1998">
              <w:rPr>
                <w:rFonts w:cs="Arial"/>
                <w:sz w:val="18"/>
                <w:szCs w:val="20"/>
              </w:rPr>
              <w:t>other battery minerals prices fell in 2019</w:t>
            </w:r>
            <w:r w:rsidR="002159EE" w:rsidRPr="007D1998">
              <w:rPr>
                <w:rFonts w:cs="Arial"/>
                <w:sz w:val="18"/>
                <w:szCs w:val="20"/>
              </w:rPr>
              <w:t>-20</w:t>
            </w:r>
            <w:r w:rsidRPr="007D1998">
              <w:rPr>
                <w:rFonts w:cs="Arial"/>
                <w:sz w:val="18"/>
                <w:szCs w:val="20"/>
              </w:rPr>
              <w:t xml:space="preserve"> because of slowing electric vehicle demand in China</w:t>
            </w:r>
            <w:r w:rsidR="002159EE" w:rsidRPr="007D1998">
              <w:rPr>
                <w:rFonts w:cs="Arial"/>
                <w:sz w:val="18"/>
                <w:szCs w:val="20"/>
              </w:rPr>
              <w:t xml:space="preserve"> (including from the effect of the COVID-19 pandemic in early 2020) and an</w:t>
            </w:r>
            <w:r w:rsidRPr="007D1998">
              <w:rPr>
                <w:rFonts w:cs="Arial"/>
                <w:sz w:val="18"/>
                <w:szCs w:val="20"/>
              </w:rPr>
              <w:t xml:space="preserve"> oversupply of battery minerals.</w:t>
            </w:r>
          </w:p>
          <w:p w14:paraId="43951607" w14:textId="36BFA843" w:rsidR="002159EE" w:rsidRPr="007D1998" w:rsidRDefault="002159EE" w:rsidP="002159EE">
            <w:pPr>
              <w:numPr>
                <w:ilvl w:val="0"/>
                <w:numId w:val="12"/>
              </w:numPr>
              <w:rPr>
                <w:rFonts w:cs="Arial"/>
                <w:sz w:val="20"/>
                <w:szCs w:val="20"/>
              </w:rPr>
            </w:pPr>
            <w:r w:rsidRPr="007D1998">
              <w:rPr>
                <w:rFonts w:cs="Arial"/>
                <w:sz w:val="18"/>
                <w:szCs w:val="20"/>
              </w:rPr>
              <w:t>In 2019-20, the annual average price of:</w:t>
            </w:r>
          </w:p>
          <w:p w14:paraId="497AE32F" w14:textId="34D44790" w:rsidR="002159EE" w:rsidRPr="007D1998" w:rsidRDefault="002159EE" w:rsidP="002159EE">
            <w:pPr>
              <w:numPr>
                <w:ilvl w:val="1"/>
                <w:numId w:val="12"/>
              </w:numPr>
              <w:ind w:left="745" w:hanging="288"/>
              <w:rPr>
                <w:rFonts w:cs="Arial"/>
                <w:sz w:val="18"/>
                <w:szCs w:val="20"/>
              </w:rPr>
            </w:pPr>
            <w:r w:rsidRPr="007D1998">
              <w:rPr>
                <w:rFonts w:cs="Arial"/>
                <w:sz w:val="18"/>
                <w:szCs w:val="20"/>
              </w:rPr>
              <w:t>Lithium concentrate (spodumene) fell 35% to US$455/t.</w:t>
            </w:r>
          </w:p>
          <w:p w14:paraId="0A6A5759" w14:textId="0A8A9576" w:rsidR="002159EE" w:rsidRPr="007D1998" w:rsidRDefault="002159EE" w:rsidP="002159EE">
            <w:pPr>
              <w:numPr>
                <w:ilvl w:val="1"/>
                <w:numId w:val="12"/>
              </w:numPr>
              <w:ind w:left="745" w:hanging="288"/>
              <w:rPr>
                <w:rFonts w:cs="Arial"/>
                <w:sz w:val="18"/>
                <w:szCs w:val="20"/>
              </w:rPr>
            </w:pPr>
            <w:r w:rsidRPr="007D1998">
              <w:rPr>
                <w:rFonts w:cs="Arial"/>
                <w:sz w:val="18"/>
                <w:szCs w:val="20"/>
              </w:rPr>
              <w:t>Cobalt fell 26% to US$33,864/t.</w:t>
            </w:r>
          </w:p>
          <w:p w14:paraId="2CA59992" w14:textId="338262D1" w:rsidR="002159EE" w:rsidRPr="007D1998" w:rsidRDefault="002159EE" w:rsidP="002159EE">
            <w:pPr>
              <w:numPr>
                <w:ilvl w:val="1"/>
                <w:numId w:val="12"/>
              </w:numPr>
              <w:ind w:left="745" w:hanging="288"/>
              <w:rPr>
                <w:rFonts w:cs="Arial"/>
                <w:sz w:val="18"/>
                <w:szCs w:val="20"/>
              </w:rPr>
            </w:pPr>
            <w:r w:rsidRPr="007D1998">
              <w:rPr>
                <w:rFonts w:cs="Arial"/>
                <w:sz w:val="18"/>
                <w:szCs w:val="20"/>
              </w:rPr>
              <w:t>Copper fell 8% to US$5,672/t.</w:t>
            </w:r>
          </w:p>
          <w:p w14:paraId="22496D18" w14:textId="4E2BA9FB" w:rsidR="002159EE" w:rsidRPr="007D1998" w:rsidRDefault="002159EE" w:rsidP="002159EE">
            <w:pPr>
              <w:numPr>
                <w:ilvl w:val="1"/>
                <w:numId w:val="12"/>
              </w:numPr>
              <w:ind w:left="745" w:hanging="288"/>
              <w:rPr>
                <w:rFonts w:cs="Arial"/>
                <w:sz w:val="18"/>
                <w:szCs w:val="20"/>
              </w:rPr>
            </w:pPr>
            <w:r w:rsidRPr="007D1998">
              <w:rPr>
                <w:rFonts w:cs="Arial"/>
                <w:sz w:val="18"/>
                <w:szCs w:val="20"/>
              </w:rPr>
              <w:t>Nickel rose 13% to US$13,982/t.</w:t>
            </w:r>
          </w:p>
          <w:p w14:paraId="791BBA6E" w14:textId="3063FE7B" w:rsidR="007C6279" w:rsidRPr="007D1998" w:rsidRDefault="002159EE" w:rsidP="002159EE">
            <w:pPr>
              <w:numPr>
                <w:ilvl w:val="0"/>
                <w:numId w:val="12"/>
              </w:numPr>
              <w:rPr>
                <w:rFonts w:cs="Arial"/>
                <w:sz w:val="20"/>
                <w:szCs w:val="20"/>
              </w:rPr>
            </w:pPr>
            <w:r w:rsidRPr="007D1998">
              <w:rPr>
                <w:rFonts w:cs="Arial"/>
                <w:sz w:val="18"/>
                <w:szCs w:val="20"/>
              </w:rPr>
              <w:t>Western Australia will begin exporting lithium hydroxide when Tianqi Lithium commissions the first stage of its Kwinana plant in 2021. Lithium hydroxide prices fell 46</w:t>
            </w:r>
            <w:r w:rsidR="007C6279" w:rsidRPr="007D1998">
              <w:rPr>
                <w:rFonts w:cs="Arial"/>
                <w:sz w:val="18"/>
                <w:szCs w:val="20"/>
              </w:rPr>
              <w:t>% to US$</w:t>
            </w:r>
            <w:r w:rsidRPr="007D1998">
              <w:rPr>
                <w:rFonts w:cs="Arial"/>
                <w:sz w:val="18"/>
                <w:szCs w:val="20"/>
              </w:rPr>
              <w:t>7,765</w:t>
            </w:r>
            <w:r w:rsidR="007C6279" w:rsidRPr="007D1998">
              <w:rPr>
                <w:rFonts w:cs="Arial"/>
                <w:sz w:val="18"/>
                <w:szCs w:val="20"/>
              </w:rPr>
              <w:t xml:space="preserve"> a tonne in 2019</w:t>
            </w:r>
            <w:r w:rsidRPr="007D1998">
              <w:rPr>
                <w:rFonts w:cs="Arial"/>
                <w:sz w:val="18"/>
                <w:szCs w:val="20"/>
              </w:rPr>
              <w:t>-20</w:t>
            </w:r>
            <w:r w:rsidR="007C6279" w:rsidRPr="007D1998">
              <w:rPr>
                <w:rFonts w:cs="Arial"/>
                <w:sz w:val="18"/>
                <w:szCs w:val="20"/>
              </w:rPr>
              <w:t>.</w:t>
            </w:r>
          </w:p>
        </w:tc>
      </w:tr>
      <w:tr w:rsidR="007C6279" w:rsidRPr="00E84F58" w14:paraId="08588EE5" w14:textId="77777777" w:rsidTr="00E544E4">
        <w:tc>
          <w:tcPr>
            <w:tcW w:w="6661" w:type="dxa"/>
            <w:shd w:val="clear" w:color="auto" w:fill="auto"/>
          </w:tcPr>
          <w:p w14:paraId="27C44FFA" w14:textId="1084B5ED" w:rsidR="007C6279" w:rsidRPr="00E84F58" w:rsidRDefault="00901C04" w:rsidP="00E544E4">
            <w:pPr>
              <w:jc w:val="center"/>
              <w:rPr>
                <w:rFonts w:cs="Arial"/>
                <w:sz w:val="20"/>
                <w:szCs w:val="20"/>
              </w:rPr>
            </w:pPr>
            <w:r>
              <w:rPr>
                <w:rFonts w:cs="Arial"/>
                <w:sz w:val="20"/>
                <w:szCs w:val="20"/>
              </w:rPr>
              <w:pict w14:anchorId="17A609E9">
                <v:shape id="_x0000_i1027" type="#_x0000_t75" style="width:294.35pt;height:176.65pt;mso-left-percent:-10001;mso-top-percent:-10001;mso-position-horizontal:absolute;mso-position-horizontal-relative:char;mso-position-vertical:absolute;mso-position-vertical-relative:line;mso-left-percent:-10001;mso-top-percent:-10001">
                  <v:imagedata r:id="rId14" o:title=""/>
                </v:shape>
              </w:pict>
            </w:r>
          </w:p>
        </w:tc>
        <w:tc>
          <w:tcPr>
            <w:tcW w:w="3969" w:type="dxa"/>
            <w:vMerge/>
            <w:shd w:val="clear" w:color="auto" w:fill="auto"/>
          </w:tcPr>
          <w:p w14:paraId="313CE637" w14:textId="77777777" w:rsidR="007C6279" w:rsidRPr="00E84F58" w:rsidRDefault="007C6279" w:rsidP="00E544E4">
            <w:pPr>
              <w:rPr>
                <w:rFonts w:cs="Arial"/>
                <w:sz w:val="20"/>
                <w:szCs w:val="20"/>
              </w:rPr>
            </w:pPr>
          </w:p>
        </w:tc>
      </w:tr>
      <w:tr w:rsidR="007C6279" w:rsidRPr="00E84F58" w14:paraId="0269BE3C" w14:textId="77777777" w:rsidTr="00E544E4">
        <w:tc>
          <w:tcPr>
            <w:tcW w:w="6661" w:type="dxa"/>
            <w:shd w:val="clear" w:color="auto" w:fill="auto"/>
          </w:tcPr>
          <w:p w14:paraId="486EA289" w14:textId="4B400752" w:rsidR="007C6279" w:rsidRPr="004C666A" w:rsidRDefault="007C6279" w:rsidP="00E544E4">
            <w:pPr>
              <w:rPr>
                <w:rFonts w:cs="Arial"/>
                <w:sz w:val="10"/>
                <w:szCs w:val="20"/>
              </w:rPr>
            </w:pPr>
            <w:r w:rsidRPr="004C666A">
              <w:rPr>
                <w:rFonts w:cs="Arial"/>
                <w:sz w:val="10"/>
                <w:szCs w:val="20"/>
                <w:vertAlign w:val="superscript"/>
              </w:rPr>
              <w:t>1</w:t>
            </w:r>
            <w:r w:rsidRPr="004C666A">
              <w:rPr>
                <w:rFonts w:cs="Arial"/>
                <w:sz w:val="10"/>
                <w:szCs w:val="20"/>
              </w:rPr>
              <w:t xml:space="preserve"> </w:t>
            </w:r>
            <w:r>
              <w:rPr>
                <w:rFonts w:cs="Arial"/>
                <w:sz w:val="10"/>
                <w:szCs w:val="20"/>
              </w:rPr>
              <w:t>P</w:t>
            </w:r>
            <w:r w:rsidRPr="004C666A">
              <w:rPr>
                <w:rFonts w:cs="Arial"/>
                <w:sz w:val="10"/>
                <w:szCs w:val="20"/>
              </w:rPr>
              <w:t>rice</w:t>
            </w:r>
            <w:r>
              <w:rPr>
                <w:rFonts w:cs="Arial"/>
                <w:sz w:val="10"/>
                <w:szCs w:val="20"/>
              </w:rPr>
              <w:t xml:space="preserve">s in </w:t>
            </w:r>
            <w:r w:rsidRPr="004C666A">
              <w:rPr>
                <w:rFonts w:cs="Arial"/>
                <w:sz w:val="10"/>
                <w:szCs w:val="20"/>
              </w:rPr>
              <w:t>nominal US</w:t>
            </w:r>
            <w:r>
              <w:rPr>
                <w:rFonts w:cs="Arial"/>
                <w:sz w:val="10"/>
                <w:szCs w:val="20"/>
              </w:rPr>
              <w:t xml:space="preserve"> dollars a tonne (</w:t>
            </w:r>
            <w:r w:rsidRPr="00F921A9">
              <w:rPr>
                <w:rFonts w:cs="Arial"/>
                <w:sz w:val="10"/>
                <w:szCs w:val="20"/>
              </w:rPr>
              <w:t xml:space="preserve">price index reference year </w:t>
            </w:r>
            <w:r w:rsidR="002159EE">
              <w:rPr>
                <w:rFonts w:cs="Arial"/>
                <w:sz w:val="10"/>
                <w:szCs w:val="20"/>
              </w:rPr>
              <w:t>is 2009-10</w:t>
            </w:r>
            <w:r w:rsidRPr="00F921A9">
              <w:rPr>
                <w:rFonts w:cs="Arial"/>
                <w:sz w:val="10"/>
                <w:szCs w:val="20"/>
              </w:rPr>
              <w:t xml:space="preserve"> = 100.0). (a</w:t>
            </w:r>
            <w:r w:rsidRPr="00F375E8">
              <w:rPr>
                <w:rFonts w:cs="Arial"/>
                <w:sz w:val="10"/>
                <w:szCs w:val="20"/>
              </w:rPr>
              <w:t xml:space="preserve">) Western Australia’s unit prices of spodumene concentrate sales converted to US dollars using annual average exchange rates. </w:t>
            </w:r>
            <w:r w:rsidRPr="00F921A9">
              <w:rPr>
                <w:rFonts w:cs="Arial"/>
                <w:sz w:val="10"/>
                <w:szCs w:val="20"/>
              </w:rPr>
              <w:t>(b) Minimum 99.80% purity. (c) Minimum 99.80% purity, cathodes. (d) Minimum 99.9935% purity, cathodes and wire bar.</w:t>
            </w:r>
          </w:p>
          <w:p w14:paraId="575E3636" w14:textId="77777777" w:rsidR="007C6279" w:rsidRPr="004C666A" w:rsidRDefault="007C6279" w:rsidP="00E544E4">
            <w:pPr>
              <w:rPr>
                <w:rFonts w:cs="Arial"/>
                <w:sz w:val="10"/>
                <w:szCs w:val="20"/>
              </w:rPr>
            </w:pPr>
            <w:r w:rsidRPr="004C666A">
              <w:rPr>
                <w:rFonts w:cs="Arial"/>
                <w:sz w:val="10"/>
                <w:szCs w:val="20"/>
              </w:rPr>
              <w:t xml:space="preserve">Source: World Bank, Commodity Markets; </w:t>
            </w:r>
            <w:r>
              <w:rPr>
                <w:rFonts w:cs="Arial"/>
                <w:sz w:val="10"/>
                <w:szCs w:val="20"/>
              </w:rPr>
              <w:t xml:space="preserve">and </w:t>
            </w:r>
            <w:r w:rsidRPr="004C666A">
              <w:rPr>
                <w:rFonts w:cs="Arial"/>
                <w:sz w:val="10"/>
                <w:szCs w:val="20"/>
              </w:rPr>
              <w:t>W</w:t>
            </w:r>
            <w:r>
              <w:rPr>
                <w:rFonts w:cs="Arial"/>
                <w:sz w:val="10"/>
                <w:szCs w:val="20"/>
              </w:rPr>
              <w:t xml:space="preserve">estern </w:t>
            </w:r>
            <w:r w:rsidRPr="004C666A">
              <w:rPr>
                <w:rFonts w:cs="Arial"/>
                <w:sz w:val="10"/>
                <w:szCs w:val="20"/>
              </w:rPr>
              <w:t>A</w:t>
            </w:r>
            <w:r>
              <w:rPr>
                <w:rFonts w:cs="Arial"/>
                <w:sz w:val="10"/>
                <w:szCs w:val="20"/>
              </w:rPr>
              <w:t>ustralia</w:t>
            </w:r>
            <w:r w:rsidRPr="004C666A">
              <w:rPr>
                <w:rFonts w:cs="Arial"/>
                <w:sz w:val="10"/>
                <w:szCs w:val="20"/>
              </w:rPr>
              <w:t xml:space="preserve"> Department of Mines, Industry Regulation and Safety, Resource Data Files.</w:t>
            </w:r>
          </w:p>
        </w:tc>
        <w:tc>
          <w:tcPr>
            <w:tcW w:w="3969" w:type="dxa"/>
            <w:vMerge/>
            <w:shd w:val="clear" w:color="auto" w:fill="auto"/>
          </w:tcPr>
          <w:p w14:paraId="5452AAA7" w14:textId="77777777" w:rsidR="007C6279" w:rsidRPr="00E84F58" w:rsidRDefault="007C6279" w:rsidP="00E544E4">
            <w:pPr>
              <w:rPr>
                <w:rFonts w:cs="Arial"/>
                <w:sz w:val="20"/>
                <w:szCs w:val="20"/>
              </w:rPr>
            </w:pPr>
          </w:p>
        </w:tc>
      </w:tr>
    </w:tbl>
    <w:p w14:paraId="2DB3B70D" w14:textId="77777777" w:rsidR="007C6279" w:rsidRPr="00CC6E8F" w:rsidRDefault="007C6279" w:rsidP="007C6279">
      <w:pPr>
        <w:rPr>
          <w:rFonts w:cs="Arial"/>
          <w:sz w:val="4"/>
          <w:szCs w:val="20"/>
        </w:rPr>
      </w:pPr>
    </w:p>
    <w:p w14:paraId="62822A7D" w14:textId="77777777" w:rsidR="007C6279" w:rsidRPr="00BC4065" w:rsidRDefault="007C6279" w:rsidP="007C6279">
      <w:pPr>
        <w:rPr>
          <w:rFonts w:cs="Arial"/>
          <w:sz w:val="4"/>
          <w:szCs w:val="20"/>
        </w:rPr>
      </w:pPr>
      <w:r w:rsidRPr="00A8171B">
        <w:rPr>
          <w:rFonts w:cs="Arial"/>
          <w:sz w:val="20"/>
          <w:szCs w:val="20"/>
        </w:rPr>
        <w:br w:type="page"/>
      </w:r>
    </w:p>
    <w:tbl>
      <w:tblPr>
        <w:tblW w:w="10632"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7C6279" w:rsidRPr="00E84F58" w14:paraId="721E07A7" w14:textId="77777777" w:rsidTr="00E544E4">
        <w:tc>
          <w:tcPr>
            <w:tcW w:w="10632" w:type="dxa"/>
            <w:tcBorders>
              <w:top w:val="nil"/>
              <w:left w:val="nil"/>
              <w:bottom w:val="nil"/>
              <w:right w:val="nil"/>
            </w:tcBorders>
            <w:shd w:val="clear" w:color="auto" w:fill="D9D9D9"/>
          </w:tcPr>
          <w:p w14:paraId="36A4FA2B" w14:textId="77777777" w:rsidR="007C6279" w:rsidRPr="00E84F58" w:rsidRDefault="007C6279" w:rsidP="00E544E4">
            <w:pPr>
              <w:jc w:val="center"/>
              <w:rPr>
                <w:rFonts w:cs="Arial"/>
                <w:sz w:val="20"/>
                <w:szCs w:val="20"/>
              </w:rPr>
            </w:pPr>
            <w:r w:rsidRPr="00C90210">
              <w:rPr>
                <w:rFonts w:cs="Arial"/>
                <w:b/>
                <w:color w:val="C0504D"/>
                <w:sz w:val="20"/>
                <w:szCs w:val="20"/>
              </w:rPr>
              <w:t>WESTERN AUSTRALIA</w:t>
            </w:r>
            <w:r>
              <w:rPr>
                <w:rFonts w:cs="Arial"/>
                <w:b/>
                <w:color w:val="C0504D"/>
                <w:sz w:val="20"/>
                <w:szCs w:val="20"/>
              </w:rPr>
              <w:t>’S</w:t>
            </w:r>
            <w:r w:rsidRPr="00C90210">
              <w:rPr>
                <w:rFonts w:cs="Arial"/>
                <w:b/>
                <w:color w:val="C0504D"/>
                <w:sz w:val="20"/>
                <w:szCs w:val="20"/>
              </w:rPr>
              <w:t xml:space="preserve"> COMPETITIVENESS</w:t>
            </w:r>
          </w:p>
        </w:tc>
      </w:tr>
    </w:tbl>
    <w:p w14:paraId="05188F2D" w14:textId="77777777" w:rsidR="007C6279" w:rsidRPr="00BC4065"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6D58649E" w14:textId="77777777" w:rsidTr="00E544E4">
        <w:tc>
          <w:tcPr>
            <w:tcW w:w="6661" w:type="dxa"/>
            <w:shd w:val="clear" w:color="auto" w:fill="C0504D"/>
          </w:tcPr>
          <w:p w14:paraId="1A396E6B" w14:textId="77777777" w:rsidR="007C6279" w:rsidRPr="00E84F58" w:rsidRDefault="007C6279" w:rsidP="00E544E4">
            <w:pPr>
              <w:jc w:val="center"/>
              <w:rPr>
                <w:rFonts w:cs="Arial"/>
                <w:sz w:val="20"/>
                <w:szCs w:val="20"/>
              </w:rPr>
            </w:pPr>
            <w:r w:rsidRPr="00C90210">
              <w:rPr>
                <w:rFonts w:cs="Arial"/>
                <w:color w:val="FFFFFF"/>
                <w:sz w:val="20"/>
                <w:szCs w:val="20"/>
              </w:rPr>
              <w:t>Estimated</w:t>
            </w:r>
            <w:r w:rsidRPr="00B2570A">
              <w:rPr>
                <w:rFonts w:cs="Arial"/>
                <w:color w:val="FFFFFF"/>
                <w:sz w:val="20"/>
                <w:szCs w:val="20"/>
                <w:vertAlign w:val="superscript"/>
              </w:rPr>
              <w:t>1</w:t>
            </w:r>
            <w:r>
              <w:rPr>
                <w:rFonts w:cs="Arial"/>
                <w:color w:val="FFFFFF"/>
                <w:sz w:val="20"/>
                <w:szCs w:val="20"/>
              </w:rPr>
              <w:t xml:space="preserve"> battery minerals</w:t>
            </w:r>
            <w:r w:rsidRPr="00C90210">
              <w:rPr>
                <w:rFonts w:cs="Arial"/>
                <w:color w:val="FFFFFF"/>
                <w:sz w:val="20"/>
                <w:szCs w:val="20"/>
              </w:rPr>
              <w:t xml:space="preserve"> res</w:t>
            </w:r>
            <w:r>
              <w:rPr>
                <w:rFonts w:cs="Arial"/>
                <w:color w:val="FFFFFF"/>
                <w:sz w:val="20"/>
                <w:szCs w:val="20"/>
              </w:rPr>
              <w:t>erves: 2019</w:t>
            </w:r>
          </w:p>
        </w:tc>
        <w:tc>
          <w:tcPr>
            <w:tcW w:w="3969" w:type="dxa"/>
            <w:vMerge w:val="restart"/>
            <w:shd w:val="clear" w:color="auto" w:fill="auto"/>
            <w:vAlign w:val="center"/>
          </w:tcPr>
          <w:p w14:paraId="284DB3C6" w14:textId="77777777" w:rsidR="007C6279" w:rsidRDefault="007C6279" w:rsidP="00E544E4">
            <w:pPr>
              <w:numPr>
                <w:ilvl w:val="0"/>
                <w:numId w:val="12"/>
              </w:numPr>
              <w:rPr>
                <w:rFonts w:cs="Arial"/>
                <w:sz w:val="20"/>
                <w:szCs w:val="20"/>
              </w:rPr>
            </w:pPr>
            <w:r>
              <w:rPr>
                <w:rFonts w:cs="Arial"/>
                <w:sz w:val="18"/>
                <w:szCs w:val="20"/>
              </w:rPr>
              <w:t>Western Australia has globally significant battery minerals reserves of a quality suitable for battery manufacturing.</w:t>
            </w:r>
          </w:p>
          <w:p w14:paraId="47F66F8C" w14:textId="77777777" w:rsidR="007C6279" w:rsidRDefault="007C6279" w:rsidP="00E544E4">
            <w:pPr>
              <w:numPr>
                <w:ilvl w:val="0"/>
                <w:numId w:val="12"/>
              </w:numPr>
              <w:rPr>
                <w:rFonts w:cs="Arial"/>
                <w:sz w:val="20"/>
                <w:szCs w:val="20"/>
              </w:rPr>
            </w:pPr>
            <w:r>
              <w:rPr>
                <w:rFonts w:cs="Arial"/>
                <w:sz w:val="18"/>
                <w:szCs w:val="20"/>
              </w:rPr>
              <w:t>In 2019, Western Australia accounted for 21% of the world’s nickel reserves.</w:t>
            </w:r>
          </w:p>
          <w:p w14:paraId="542225AD" w14:textId="77777777" w:rsidR="007C6279" w:rsidRDefault="007C6279" w:rsidP="00E544E4">
            <w:pPr>
              <w:numPr>
                <w:ilvl w:val="0"/>
                <w:numId w:val="12"/>
              </w:numPr>
              <w:rPr>
                <w:rFonts w:cs="Arial"/>
                <w:sz w:val="20"/>
                <w:szCs w:val="20"/>
              </w:rPr>
            </w:pPr>
            <w:r>
              <w:rPr>
                <w:rFonts w:cs="Arial"/>
                <w:sz w:val="18"/>
                <w:szCs w:val="20"/>
              </w:rPr>
              <w:t>Western Australia accounted for over 10% of the world’s cobalt, lithium and vanadium reserves in 2019.</w:t>
            </w:r>
          </w:p>
          <w:p w14:paraId="3D0C3331" w14:textId="3F260385" w:rsidR="007C6279" w:rsidRDefault="007C6279" w:rsidP="00E544E4">
            <w:pPr>
              <w:numPr>
                <w:ilvl w:val="0"/>
                <w:numId w:val="12"/>
              </w:numPr>
              <w:rPr>
                <w:rFonts w:cs="Arial"/>
                <w:sz w:val="20"/>
                <w:szCs w:val="20"/>
              </w:rPr>
            </w:pPr>
            <w:r>
              <w:rPr>
                <w:rFonts w:cs="Arial"/>
                <w:sz w:val="18"/>
                <w:szCs w:val="20"/>
              </w:rPr>
              <w:t xml:space="preserve">Western Australia had 5% or less of the </w:t>
            </w:r>
            <w:r w:rsidR="007B4471">
              <w:rPr>
                <w:rFonts w:cs="Arial"/>
                <w:sz w:val="18"/>
                <w:szCs w:val="20"/>
              </w:rPr>
              <w:t>world’s manganese, rare earths, copper</w:t>
            </w:r>
            <w:r>
              <w:rPr>
                <w:rFonts w:cs="Arial"/>
                <w:sz w:val="18"/>
                <w:szCs w:val="20"/>
              </w:rPr>
              <w:t xml:space="preserve"> and graphite reserves in 2019.</w:t>
            </w:r>
          </w:p>
          <w:p w14:paraId="1814B45F" w14:textId="3785C220" w:rsidR="007C6279" w:rsidRPr="0059555B" w:rsidRDefault="007C6279" w:rsidP="00E544E4">
            <w:pPr>
              <w:numPr>
                <w:ilvl w:val="0"/>
                <w:numId w:val="12"/>
              </w:numPr>
              <w:rPr>
                <w:rFonts w:cs="Arial"/>
                <w:sz w:val="20"/>
                <w:szCs w:val="20"/>
              </w:rPr>
            </w:pPr>
            <w:r w:rsidRPr="0059555B">
              <w:rPr>
                <w:rFonts w:cs="Arial"/>
                <w:sz w:val="18"/>
                <w:szCs w:val="20"/>
              </w:rPr>
              <w:t>Western Australia’s estimated battery minerals</w:t>
            </w:r>
            <w:r w:rsidR="004E1D05" w:rsidRPr="0059555B">
              <w:rPr>
                <w:rFonts w:cs="Arial"/>
                <w:sz w:val="18"/>
                <w:szCs w:val="20"/>
              </w:rPr>
              <w:t xml:space="preserve"> exploration expenditure rose 31% to $443</w:t>
            </w:r>
            <w:r w:rsidRPr="0059555B">
              <w:rPr>
                <w:rFonts w:cs="Arial"/>
                <w:sz w:val="18"/>
                <w:szCs w:val="20"/>
              </w:rPr>
              <w:t> million in 2019</w:t>
            </w:r>
            <w:r w:rsidR="004E1D05" w:rsidRPr="0059555B">
              <w:rPr>
                <w:rFonts w:cs="Arial"/>
                <w:sz w:val="18"/>
                <w:szCs w:val="20"/>
              </w:rPr>
              <w:t>-20</w:t>
            </w:r>
            <w:r w:rsidRPr="0059555B">
              <w:rPr>
                <w:rFonts w:cs="Arial"/>
                <w:sz w:val="18"/>
                <w:szCs w:val="20"/>
              </w:rPr>
              <w:t>.</w:t>
            </w:r>
          </w:p>
        </w:tc>
      </w:tr>
      <w:tr w:rsidR="007C6279" w:rsidRPr="00E84F58" w14:paraId="19C2E7CC" w14:textId="77777777" w:rsidTr="00E544E4">
        <w:tc>
          <w:tcPr>
            <w:tcW w:w="6661" w:type="dxa"/>
            <w:shd w:val="clear" w:color="auto" w:fill="auto"/>
          </w:tcPr>
          <w:tbl>
            <w:tblPr>
              <w:tblW w:w="6414" w:type="dxa"/>
              <w:tblBorders>
                <w:top w:val="single" w:sz="2" w:space="0" w:color="D99594"/>
                <w:bottom w:val="single" w:sz="2" w:space="0" w:color="D99594"/>
                <w:insideH w:val="single" w:sz="2" w:space="0" w:color="D99594"/>
                <w:insideV w:val="single" w:sz="2" w:space="0" w:color="D99594"/>
              </w:tblBorders>
              <w:tblLook w:val="04A0" w:firstRow="1" w:lastRow="0" w:firstColumn="1" w:lastColumn="0" w:noHBand="0" w:noVBand="1"/>
            </w:tblPr>
            <w:tblGrid>
              <w:gridCol w:w="1599"/>
              <w:gridCol w:w="996"/>
              <w:gridCol w:w="850"/>
              <w:gridCol w:w="850"/>
              <w:gridCol w:w="850"/>
              <w:gridCol w:w="1269"/>
            </w:tblGrid>
            <w:tr w:rsidR="007C6279" w14:paraId="125FC464" w14:textId="77777777" w:rsidTr="00E544E4">
              <w:tc>
                <w:tcPr>
                  <w:tcW w:w="1246" w:type="pct"/>
                  <w:tcBorders>
                    <w:top w:val="nil"/>
                    <w:bottom w:val="single" w:sz="12" w:space="0" w:color="D99594"/>
                    <w:right w:val="nil"/>
                  </w:tcBorders>
                  <w:shd w:val="clear" w:color="auto" w:fill="FFFFFF"/>
                </w:tcPr>
                <w:p w14:paraId="731905DE" w14:textId="77777777" w:rsidR="007C6279" w:rsidRPr="003D0837" w:rsidRDefault="007C6279" w:rsidP="00E544E4">
                  <w:pPr>
                    <w:jc w:val="left"/>
                    <w:rPr>
                      <w:rFonts w:cs="Arial"/>
                      <w:b/>
                      <w:bCs/>
                      <w:iCs/>
                      <w:sz w:val="18"/>
                      <w:szCs w:val="18"/>
                    </w:rPr>
                  </w:pPr>
                  <w:r w:rsidRPr="003D0837">
                    <w:rPr>
                      <w:rFonts w:cs="Arial"/>
                      <w:b/>
                      <w:bCs/>
                      <w:iCs/>
                      <w:sz w:val="18"/>
                      <w:szCs w:val="18"/>
                    </w:rPr>
                    <w:t>Commodity</w:t>
                  </w:r>
                </w:p>
              </w:tc>
              <w:tc>
                <w:tcPr>
                  <w:tcW w:w="776" w:type="pct"/>
                  <w:tcBorders>
                    <w:top w:val="nil"/>
                    <w:left w:val="nil"/>
                    <w:bottom w:val="single" w:sz="12" w:space="0" w:color="D99594"/>
                    <w:right w:val="nil"/>
                  </w:tcBorders>
                  <w:shd w:val="clear" w:color="auto" w:fill="FFFFFF"/>
                </w:tcPr>
                <w:p w14:paraId="22031B3F" w14:textId="77777777" w:rsidR="007C6279" w:rsidRPr="003D0837" w:rsidRDefault="007C6279" w:rsidP="00E544E4">
                  <w:pPr>
                    <w:jc w:val="center"/>
                    <w:rPr>
                      <w:rFonts w:cs="Arial"/>
                      <w:b/>
                      <w:bCs/>
                      <w:sz w:val="18"/>
                      <w:szCs w:val="18"/>
                    </w:rPr>
                  </w:pPr>
                  <w:r w:rsidRPr="003D0837">
                    <w:rPr>
                      <w:rFonts w:cs="Arial"/>
                      <w:b/>
                      <w:bCs/>
                      <w:sz w:val="18"/>
                      <w:szCs w:val="18"/>
                    </w:rPr>
                    <w:t>Unit</w:t>
                  </w:r>
                </w:p>
              </w:tc>
              <w:tc>
                <w:tcPr>
                  <w:tcW w:w="663" w:type="pct"/>
                  <w:tcBorders>
                    <w:top w:val="nil"/>
                    <w:left w:val="nil"/>
                    <w:bottom w:val="single" w:sz="12" w:space="0" w:color="D99594"/>
                    <w:right w:val="nil"/>
                  </w:tcBorders>
                  <w:shd w:val="clear" w:color="auto" w:fill="FFFFFF"/>
                </w:tcPr>
                <w:p w14:paraId="6C3914A1" w14:textId="77777777" w:rsidR="007C6279" w:rsidRPr="003D0837" w:rsidRDefault="007C6279" w:rsidP="00E544E4">
                  <w:pPr>
                    <w:jc w:val="right"/>
                    <w:rPr>
                      <w:rFonts w:cs="Arial"/>
                      <w:b/>
                      <w:bCs/>
                      <w:sz w:val="18"/>
                      <w:szCs w:val="18"/>
                    </w:rPr>
                  </w:pPr>
                  <w:r w:rsidRPr="003D0837">
                    <w:rPr>
                      <w:rFonts w:cs="Arial"/>
                      <w:b/>
                      <w:bCs/>
                      <w:sz w:val="18"/>
                      <w:szCs w:val="18"/>
                    </w:rPr>
                    <w:t>WA</w:t>
                  </w:r>
                </w:p>
              </w:tc>
              <w:tc>
                <w:tcPr>
                  <w:tcW w:w="663" w:type="pct"/>
                  <w:tcBorders>
                    <w:top w:val="nil"/>
                    <w:left w:val="nil"/>
                    <w:bottom w:val="single" w:sz="12" w:space="0" w:color="D99594"/>
                    <w:right w:val="nil"/>
                  </w:tcBorders>
                  <w:shd w:val="clear" w:color="auto" w:fill="FFFFFF"/>
                </w:tcPr>
                <w:p w14:paraId="64D94F09" w14:textId="77777777" w:rsidR="007C6279" w:rsidRPr="003D0837" w:rsidRDefault="007C6279" w:rsidP="00E544E4">
                  <w:pPr>
                    <w:jc w:val="right"/>
                    <w:rPr>
                      <w:rFonts w:cs="Arial"/>
                      <w:b/>
                      <w:bCs/>
                      <w:sz w:val="18"/>
                      <w:szCs w:val="18"/>
                    </w:rPr>
                  </w:pPr>
                  <w:r w:rsidRPr="003D0837">
                    <w:rPr>
                      <w:rFonts w:cs="Arial"/>
                      <w:b/>
                      <w:bCs/>
                      <w:sz w:val="18"/>
                      <w:szCs w:val="18"/>
                    </w:rPr>
                    <w:t>Aust.</w:t>
                  </w:r>
                </w:p>
              </w:tc>
              <w:tc>
                <w:tcPr>
                  <w:tcW w:w="663" w:type="pct"/>
                  <w:tcBorders>
                    <w:top w:val="nil"/>
                    <w:left w:val="nil"/>
                    <w:bottom w:val="single" w:sz="12" w:space="0" w:color="D99594"/>
                    <w:right w:val="nil"/>
                  </w:tcBorders>
                  <w:shd w:val="clear" w:color="auto" w:fill="FFFFFF"/>
                </w:tcPr>
                <w:p w14:paraId="7FB9F17E" w14:textId="77777777" w:rsidR="007C6279" w:rsidRPr="003D0837" w:rsidRDefault="007C6279" w:rsidP="00E544E4">
                  <w:pPr>
                    <w:jc w:val="right"/>
                    <w:rPr>
                      <w:rFonts w:cs="Arial"/>
                      <w:b/>
                      <w:bCs/>
                      <w:sz w:val="18"/>
                      <w:szCs w:val="18"/>
                    </w:rPr>
                  </w:pPr>
                  <w:r w:rsidRPr="003D0837">
                    <w:rPr>
                      <w:rFonts w:cs="Arial"/>
                      <w:b/>
                      <w:bCs/>
                      <w:sz w:val="18"/>
                      <w:szCs w:val="18"/>
                    </w:rPr>
                    <w:t>World</w:t>
                  </w:r>
                </w:p>
              </w:tc>
              <w:tc>
                <w:tcPr>
                  <w:tcW w:w="989" w:type="pct"/>
                  <w:tcBorders>
                    <w:top w:val="nil"/>
                    <w:left w:val="nil"/>
                    <w:bottom w:val="single" w:sz="12" w:space="0" w:color="D99594"/>
                  </w:tcBorders>
                  <w:shd w:val="clear" w:color="auto" w:fill="FFFFFF"/>
                </w:tcPr>
                <w:p w14:paraId="1B727E30" w14:textId="77777777" w:rsidR="007C6279" w:rsidRPr="003D0837" w:rsidRDefault="007C6279" w:rsidP="00E544E4">
                  <w:pPr>
                    <w:jc w:val="right"/>
                    <w:rPr>
                      <w:rFonts w:cs="Arial"/>
                      <w:b/>
                      <w:bCs/>
                      <w:sz w:val="18"/>
                      <w:szCs w:val="18"/>
                    </w:rPr>
                  </w:pPr>
                  <w:r w:rsidRPr="003D0837">
                    <w:rPr>
                      <w:rFonts w:cs="Arial"/>
                      <w:b/>
                      <w:bCs/>
                      <w:sz w:val="18"/>
                      <w:szCs w:val="18"/>
                    </w:rPr>
                    <w:t>WA share of world</w:t>
                  </w:r>
                </w:p>
              </w:tc>
            </w:tr>
            <w:tr w:rsidR="007C6279" w14:paraId="0B463A08" w14:textId="77777777" w:rsidTr="00E544E4">
              <w:tc>
                <w:tcPr>
                  <w:tcW w:w="1246" w:type="pct"/>
                  <w:shd w:val="clear" w:color="auto" w:fill="F2DBDB"/>
                </w:tcPr>
                <w:p w14:paraId="7EFDF8B5" w14:textId="77777777" w:rsidR="007C6279" w:rsidRPr="003D0837" w:rsidRDefault="007C6279" w:rsidP="00E544E4">
                  <w:pPr>
                    <w:rPr>
                      <w:rFonts w:cs="Arial"/>
                      <w:b/>
                      <w:bCs/>
                      <w:i/>
                      <w:iCs/>
                      <w:sz w:val="18"/>
                      <w:szCs w:val="18"/>
                    </w:rPr>
                  </w:pPr>
                  <w:r w:rsidRPr="003D0837">
                    <w:rPr>
                      <w:rFonts w:cs="Arial"/>
                      <w:bCs/>
                      <w:iCs/>
                      <w:sz w:val="18"/>
                      <w:szCs w:val="18"/>
                    </w:rPr>
                    <w:t>Nickel</w:t>
                  </w:r>
                </w:p>
              </w:tc>
              <w:tc>
                <w:tcPr>
                  <w:tcW w:w="776" w:type="pct"/>
                  <w:shd w:val="clear" w:color="auto" w:fill="F2DBDB"/>
                </w:tcPr>
                <w:p w14:paraId="703B236C"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F2DBDB"/>
                </w:tcPr>
                <w:p w14:paraId="27CAE730" w14:textId="77777777" w:rsidR="007C6279" w:rsidRPr="003D0837" w:rsidRDefault="007C6279" w:rsidP="00E544E4">
                  <w:pPr>
                    <w:jc w:val="right"/>
                    <w:rPr>
                      <w:rFonts w:cs="Arial"/>
                      <w:sz w:val="18"/>
                      <w:szCs w:val="18"/>
                    </w:rPr>
                  </w:pPr>
                  <w:r w:rsidRPr="003D0837">
                    <w:rPr>
                      <w:rFonts w:cs="Arial"/>
                      <w:sz w:val="18"/>
                      <w:szCs w:val="18"/>
                    </w:rPr>
                    <w:t>19.0</w:t>
                  </w:r>
                </w:p>
              </w:tc>
              <w:tc>
                <w:tcPr>
                  <w:tcW w:w="663" w:type="pct"/>
                  <w:shd w:val="clear" w:color="auto" w:fill="F2DBDB"/>
                </w:tcPr>
                <w:p w14:paraId="2E13E724" w14:textId="77777777" w:rsidR="007C6279" w:rsidRPr="003D0837" w:rsidRDefault="007C6279" w:rsidP="00E544E4">
                  <w:pPr>
                    <w:jc w:val="right"/>
                    <w:rPr>
                      <w:rFonts w:cs="Arial"/>
                      <w:sz w:val="18"/>
                      <w:szCs w:val="18"/>
                    </w:rPr>
                  </w:pPr>
                  <w:r w:rsidRPr="003D0837">
                    <w:rPr>
                      <w:rFonts w:cs="Arial"/>
                      <w:sz w:val="18"/>
                      <w:szCs w:val="18"/>
                    </w:rPr>
                    <w:t>20.0</w:t>
                  </w:r>
                </w:p>
              </w:tc>
              <w:tc>
                <w:tcPr>
                  <w:tcW w:w="663" w:type="pct"/>
                  <w:shd w:val="clear" w:color="auto" w:fill="F2DBDB"/>
                </w:tcPr>
                <w:p w14:paraId="4C972D97" w14:textId="77777777" w:rsidR="007C6279" w:rsidRPr="003D0837" w:rsidRDefault="007C6279" w:rsidP="00E544E4">
                  <w:pPr>
                    <w:jc w:val="right"/>
                    <w:rPr>
                      <w:rFonts w:cs="Arial"/>
                      <w:sz w:val="18"/>
                      <w:szCs w:val="18"/>
                    </w:rPr>
                  </w:pPr>
                  <w:r w:rsidRPr="003D0837">
                    <w:rPr>
                      <w:rFonts w:cs="Arial"/>
                      <w:sz w:val="18"/>
                      <w:szCs w:val="18"/>
                    </w:rPr>
                    <w:t>89</w:t>
                  </w:r>
                </w:p>
              </w:tc>
              <w:tc>
                <w:tcPr>
                  <w:tcW w:w="989" w:type="pct"/>
                  <w:shd w:val="clear" w:color="auto" w:fill="F2DBDB"/>
                </w:tcPr>
                <w:p w14:paraId="5EBCC7B4" w14:textId="77777777" w:rsidR="007C6279" w:rsidRPr="003D0837" w:rsidRDefault="007C6279" w:rsidP="00E544E4">
                  <w:pPr>
                    <w:jc w:val="right"/>
                    <w:rPr>
                      <w:rFonts w:cs="Arial"/>
                      <w:sz w:val="18"/>
                      <w:szCs w:val="18"/>
                    </w:rPr>
                  </w:pPr>
                  <w:r w:rsidRPr="003D0837">
                    <w:rPr>
                      <w:rFonts w:cs="Arial"/>
                      <w:sz w:val="18"/>
                      <w:szCs w:val="18"/>
                    </w:rPr>
                    <w:t>21%</w:t>
                  </w:r>
                </w:p>
              </w:tc>
            </w:tr>
            <w:tr w:rsidR="007C6279" w14:paraId="4588C7EB" w14:textId="77777777" w:rsidTr="00E544E4">
              <w:tc>
                <w:tcPr>
                  <w:tcW w:w="1246" w:type="pct"/>
                  <w:shd w:val="clear" w:color="auto" w:fill="auto"/>
                </w:tcPr>
                <w:p w14:paraId="202CFF21" w14:textId="77777777" w:rsidR="007C6279" w:rsidRPr="003D0837" w:rsidRDefault="007C6279" w:rsidP="00E544E4">
                  <w:pPr>
                    <w:rPr>
                      <w:rFonts w:cs="Arial"/>
                      <w:b/>
                      <w:bCs/>
                      <w:i/>
                      <w:iCs/>
                      <w:sz w:val="18"/>
                      <w:szCs w:val="18"/>
                    </w:rPr>
                  </w:pPr>
                  <w:r w:rsidRPr="003D0837">
                    <w:rPr>
                      <w:rFonts w:cs="Arial"/>
                      <w:bCs/>
                      <w:iCs/>
                      <w:sz w:val="18"/>
                      <w:szCs w:val="18"/>
                    </w:rPr>
                    <w:t>Cobalt</w:t>
                  </w:r>
                </w:p>
              </w:tc>
              <w:tc>
                <w:tcPr>
                  <w:tcW w:w="776" w:type="pct"/>
                  <w:shd w:val="clear" w:color="auto" w:fill="auto"/>
                </w:tcPr>
                <w:p w14:paraId="79444DA2"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auto"/>
                </w:tcPr>
                <w:p w14:paraId="4C6325FA" w14:textId="77777777" w:rsidR="007C6279" w:rsidRPr="003D0837" w:rsidRDefault="007C6279" w:rsidP="00E544E4">
                  <w:pPr>
                    <w:jc w:val="right"/>
                    <w:rPr>
                      <w:rFonts w:cs="Arial"/>
                      <w:sz w:val="18"/>
                      <w:szCs w:val="18"/>
                    </w:rPr>
                  </w:pPr>
                  <w:r w:rsidRPr="003D0837">
                    <w:rPr>
                      <w:rFonts w:cs="Arial"/>
                      <w:sz w:val="18"/>
                      <w:szCs w:val="18"/>
                    </w:rPr>
                    <w:t>1.1</w:t>
                  </w:r>
                </w:p>
              </w:tc>
              <w:tc>
                <w:tcPr>
                  <w:tcW w:w="663" w:type="pct"/>
                  <w:shd w:val="clear" w:color="auto" w:fill="auto"/>
                </w:tcPr>
                <w:p w14:paraId="12B4D7D7" w14:textId="77777777" w:rsidR="007C6279" w:rsidRPr="003D0837" w:rsidRDefault="007C6279" w:rsidP="00E544E4">
                  <w:pPr>
                    <w:jc w:val="right"/>
                    <w:rPr>
                      <w:rFonts w:cs="Arial"/>
                      <w:sz w:val="18"/>
                      <w:szCs w:val="18"/>
                    </w:rPr>
                  </w:pPr>
                  <w:r w:rsidRPr="003D0837">
                    <w:rPr>
                      <w:rFonts w:cs="Arial"/>
                      <w:sz w:val="18"/>
                      <w:szCs w:val="18"/>
                    </w:rPr>
                    <w:t>1.2</w:t>
                  </w:r>
                </w:p>
              </w:tc>
              <w:tc>
                <w:tcPr>
                  <w:tcW w:w="663" w:type="pct"/>
                  <w:shd w:val="clear" w:color="auto" w:fill="auto"/>
                </w:tcPr>
                <w:p w14:paraId="3EC91BC9" w14:textId="77777777" w:rsidR="007C6279" w:rsidRPr="003D0837" w:rsidRDefault="007C6279" w:rsidP="00E544E4">
                  <w:pPr>
                    <w:jc w:val="right"/>
                    <w:rPr>
                      <w:rFonts w:cs="Arial"/>
                      <w:sz w:val="18"/>
                      <w:szCs w:val="18"/>
                    </w:rPr>
                  </w:pPr>
                  <w:r w:rsidRPr="003D0837">
                    <w:rPr>
                      <w:rFonts w:cs="Arial"/>
                      <w:sz w:val="18"/>
                      <w:szCs w:val="18"/>
                    </w:rPr>
                    <w:t>7</w:t>
                  </w:r>
                </w:p>
              </w:tc>
              <w:tc>
                <w:tcPr>
                  <w:tcW w:w="989" w:type="pct"/>
                  <w:shd w:val="clear" w:color="auto" w:fill="auto"/>
                </w:tcPr>
                <w:p w14:paraId="443BCF34" w14:textId="77777777" w:rsidR="007C6279" w:rsidRPr="003D0837" w:rsidRDefault="007C6279" w:rsidP="00E544E4">
                  <w:pPr>
                    <w:jc w:val="right"/>
                    <w:rPr>
                      <w:rFonts w:cs="Arial"/>
                      <w:sz w:val="18"/>
                      <w:szCs w:val="18"/>
                    </w:rPr>
                  </w:pPr>
                  <w:r w:rsidRPr="003D0837">
                    <w:rPr>
                      <w:rFonts w:cs="Arial"/>
                      <w:sz w:val="18"/>
                      <w:szCs w:val="18"/>
                    </w:rPr>
                    <w:t>16%</w:t>
                  </w:r>
                </w:p>
              </w:tc>
            </w:tr>
            <w:tr w:rsidR="007C6279" w14:paraId="3B510DF9" w14:textId="77777777" w:rsidTr="00E544E4">
              <w:tc>
                <w:tcPr>
                  <w:tcW w:w="1246" w:type="pct"/>
                  <w:shd w:val="clear" w:color="auto" w:fill="F2DBDB"/>
                </w:tcPr>
                <w:p w14:paraId="2B6A6DE5" w14:textId="77777777" w:rsidR="007C6279" w:rsidRPr="003D0837" w:rsidRDefault="007C6279" w:rsidP="00E544E4">
                  <w:pPr>
                    <w:rPr>
                      <w:rFonts w:cs="Arial"/>
                      <w:b/>
                      <w:bCs/>
                      <w:i/>
                      <w:iCs/>
                      <w:sz w:val="18"/>
                      <w:szCs w:val="18"/>
                    </w:rPr>
                  </w:pPr>
                  <w:r w:rsidRPr="003D0837">
                    <w:rPr>
                      <w:rFonts w:cs="Arial"/>
                      <w:bCs/>
                      <w:iCs/>
                      <w:sz w:val="18"/>
                      <w:szCs w:val="18"/>
                    </w:rPr>
                    <w:t>Lithium</w:t>
                  </w:r>
                </w:p>
              </w:tc>
              <w:tc>
                <w:tcPr>
                  <w:tcW w:w="776" w:type="pct"/>
                  <w:shd w:val="clear" w:color="auto" w:fill="F2DBDB"/>
                </w:tcPr>
                <w:p w14:paraId="2D06B6C5"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F2DBDB"/>
                </w:tcPr>
                <w:p w14:paraId="759E6F77" w14:textId="77777777" w:rsidR="007C6279" w:rsidRPr="003D0837" w:rsidRDefault="007C6279" w:rsidP="00E544E4">
                  <w:pPr>
                    <w:jc w:val="right"/>
                    <w:rPr>
                      <w:rFonts w:cs="Arial"/>
                      <w:sz w:val="18"/>
                      <w:szCs w:val="18"/>
                    </w:rPr>
                  </w:pPr>
                  <w:r w:rsidRPr="003D0837">
                    <w:rPr>
                      <w:rFonts w:cs="Arial"/>
                      <w:sz w:val="18"/>
                      <w:szCs w:val="18"/>
                    </w:rPr>
                    <w:t>2.7</w:t>
                  </w:r>
                </w:p>
              </w:tc>
              <w:tc>
                <w:tcPr>
                  <w:tcW w:w="663" w:type="pct"/>
                  <w:shd w:val="clear" w:color="auto" w:fill="F2DBDB"/>
                </w:tcPr>
                <w:p w14:paraId="5A272882" w14:textId="77777777" w:rsidR="007C6279" w:rsidRPr="003D0837" w:rsidRDefault="007C6279" w:rsidP="00E544E4">
                  <w:pPr>
                    <w:jc w:val="right"/>
                    <w:rPr>
                      <w:rFonts w:cs="Arial"/>
                      <w:sz w:val="18"/>
                      <w:szCs w:val="18"/>
                    </w:rPr>
                  </w:pPr>
                  <w:r w:rsidRPr="003D0837">
                    <w:rPr>
                      <w:rFonts w:cs="Arial"/>
                      <w:sz w:val="18"/>
                      <w:szCs w:val="18"/>
                    </w:rPr>
                    <w:t>2.8</w:t>
                  </w:r>
                </w:p>
              </w:tc>
              <w:tc>
                <w:tcPr>
                  <w:tcW w:w="663" w:type="pct"/>
                  <w:shd w:val="clear" w:color="auto" w:fill="F2DBDB"/>
                </w:tcPr>
                <w:p w14:paraId="2B49DBDE" w14:textId="77777777" w:rsidR="007C6279" w:rsidRPr="003D0837" w:rsidRDefault="007C6279" w:rsidP="00E544E4">
                  <w:pPr>
                    <w:jc w:val="right"/>
                    <w:rPr>
                      <w:rFonts w:cs="Arial"/>
                      <w:sz w:val="18"/>
                      <w:szCs w:val="18"/>
                    </w:rPr>
                  </w:pPr>
                  <w:r w:rsidRPr="003D0837">
                    <w:rPr>
                      <w:rFonts w:cs="Arial"/>
                      <w:sz w:val="18"/>
                      <w:szCs w:val="18"/>
                    </w:rPr>
                    <w:t>17</w:t>
                  </w:r>
                </w:p>
              </w:tc>
              <w:tc>
                <w:tcPr>
                  <w:tcW w:w="989" w:type="pct"/>
                  <w:shd w:val="clear" w:color="auto" w:fill="F2DBDB"/>
                </w:tcPr>
                <w:p w14:paraId="4B84A8EB" w14:textId="77777777" w:rsidR="007C6279" w:rsidRPr="003D0837" w:rsidRDefault="007C6279" w:rsidP="00E544E4">
                  <w:pPr>
                    <w:jc w:val="right"/>
                    <w:rPr>
                      <w:rFonts w:cs="Arial"/>
                      <w:sz w:val="18"/>
                      <w:szCs w:val="18"/>
                    </w:rPr>
                  </w:pPr>
                  <w:r w:rsidRPr="003D0837">
                    <w:rPr>
                      <w:rFonts w:cs="Arial"/>
                      <w:sz w:val="18"/>
                      <w:szCs w:val="18"/>
                    </w:rPr>
                    <w:t>16%</w:t>
                  </w:r>
                </w:p>
              </w:tc>
            </w:tr>
            <w:tr w:rsidR="007C6279" w14:paraId="042F9660" w14:textId="77777777" w:rsidTr="00E544E4">
              <w:tc>
                <w:tcPr>
                  <w:tcW w:w="1246" w:type="pct"/>
                  <w:shd w:val="clear" w:color="auto" w:fill="auto"/>
                </w:tcPr>
                <w:p w14:paraId="2F91D1B0" w14:textId="77777777" w:rsidR="007C6279" w:rsidRPr="003D0837" w:rsidRDefault="007C6279" w:rsidP="00E544E4">
                  <w:pPr>
                    <w:rPr>
                      <w:rFonts w:cs="Arial"/>
                      <w:b/>
                      <w:bCs/>
                      <w:iCs/>
                      <w:sz w:val="18"/>
                      <w:szCs w:val="18"/>
                    </w:rPr>
                  </w:pPr>
                  <w:r w:rsidRPr="003D0837">
                    <w:rPr>
                      <w:rFonts w:cs="Arial"/>
                      <w:bCs/>
                      <w:iCs/>
                      <w:sz w:val="18"/>
                      <w:szCs w:val="18"/>
                    </w:rPr>
                    <w:t>Vanadium</w:t>
                  </w:r>
                </w:p>
              </w:tc>
              <w:tc>
                <w:tcPr>
                  <w:tcW w:w="776" w:type="pct"/>
                  <w:shd w:val="clear" w:color="auto" w:fill="auto"/>
                </w:tcPr>
                <w:p w14:paraId="08262AAD" w14:textId="77777777" w:rsidR="007C6279" w:rsidRPr="003D0837" w:rsidRDefault="007C6279" w:rsidP="00E544E4">
                  <w:pPr>
                    <w:jc w:val="center"/>
                    <w:rPr>
                      <w:rFonts w:cs="Arial"/>
                      <w:sz w:val="18"/>
                      <w:szCs w:val="18"/>
                    </w:rPr>
                  </w:pPr>
                  <w:r w:rsidRPr="003D0837">
                    <w:rPr>
                      <w:rFonts w:cs="Arial"/>
                      <w:sz w:val="18"/>
                      <w:szCs w:val="18"/>
                    </w:rPr>
                    <w:t>Kt</w:t>
                  </w:r>
                </w:p>
              </w:tc>
              <w:tc>
                <w:tcPr>
                  <w:tcW w:w="663" w:type="pct"/>
                  <w:shd w:val="clear" w:color="auto" w:fill="auto"/>
                </w:tcPr>
                <w:p w14:paraId="3B3FEB3E" w14:textId="77777777" w:rsidR="007C6279" w:rsidRPr="003D0837" w:rsidRDefault="007C6279" w:rsidP="00E544E4">
                  <w:pPr>
                    <w:jc w:val="right"/>
                    <w:rPr>
                      <w:rFonts w:cs="Arial"/>
                      <w:sz w:val="18"/>
                      <w:szCs w:val="18"/>
                    </w:rPr>
                  </w:pPr>
                  <w:r w:rsidRPr="003D0837">
                    <w:rPr>
                      <w:rFonts w:cs="Arial"/>
                      <w:sz w:val="18"/>
                      <w:szCs w:val="18"/>
                    </w:rPr>
                    <w:t>2.7</w:t>
                  </w:r>
                </w:p>
              </w:tc>
              <w:tc>
                <w:tcPr>
                  <w:tcW w:w="663" w:type="pct"/>
                  <w:shd w:val="clear" w:color="auto" w:fill="auto"/>
                </w:tcPr>
                <w:p w14:paraId="1E306C70" w14:textId="77777777" w:rsidR="007C6279" w:rsidRPr="003D0837" w:rsidRDefault="007C6279" w:rsidP="00E544E4">
                  <w:pPr>
                    <w:jc w:val="right"/>
                    <w:rPr>
                      <w:rFonts w:cs="Arial"/>
                      <w:sz w:val="18"/>
                      <w:szCs w:val="18"/>
                    </w:rPr>
                  </w:pPr>
                  <w:r w:rsidRPr="003D0837">
                    <w:rPr>
                      <w:rFonts w:cs="Arial"/>
                      <w:sz w:val="18"/>
                      <w:szCs w:val="18"/>
                    </w:rPr>
                    <w:t>4.0</w:t>
                  </w:r>
                </w:p>
              </w:tc>
              <w:tc>
                <w:tcPr>
                  <w:tcW w:w="663" w:type="pct"/>
                  <w:shd w:val="clear" w:color="auto" w:fill="auto"/>
                </w:tcPr>
                <w:p w14:paraId="42BCC008" w14:textId="77777777" w:rsidR="007C6279" w:rsidRPr="003D0837" w:rsidRDefault="007C6279" w:rsidP="00E544E4">
                  <w:pPr>
                    <w:jc w:val="right"/>
                    <w:rPr>
                      <w:rFonts w:cs="Arial"/>
                      <w:sz w:val="18"/>
                      <w:szCs w:val="18"/>
                    </w:rPr>
                  </w:pPr>
                  <w:r w:rsidRPr="003D0837">
                    <w:rPr>
                      <w:rFonts w:cs="Arial"/>
                      <w:sz w:val="18"/>
                      <w:szCs w:val="18"/>
                    </w:rPr>
                    <w:t>22</w:t>
                  </w:r>
                </w:p>
              </w:tc>
              <w:tc>
                <w:tcPr>
                  <w:tcW w:w="989" w:type="pct"/>
                  <w:shd w:val="clear" w:color="auto" w:fill="auto"/>
                </w:tcPr>
                <w:p w14:paraId="5E1FC759" w14:textId="77777777" w:rsidR="007C6279" w:rsidRPr="003D0837" w:rsidRDefault="007C6279" w:rsidP="00E544E4">
                  <w:pPr>
                    <w:jc w:val="right"/>
                    <w:rPr>
                      <w:rFonts w:cs="Arial"/>
                      <w:sz w:val="18"/>
                      <w:szCs w:val="18"/>
                    </w:rPr>
                  </w:pPr>
                  <w:r w:rsidRPr="003D0837">
                    <w:rPr>
                      <w:rFonts w:cs="Arial"/>
                      <w:sz w:val="18"/>
                      <w:szCs w:val="18"/>
                    </w:rPr>
                    <w:t>12%</w:t>
                  </w:r>
                </w:p>
              </w:tc>
            </w:tr>
            <w:tr w:rsidR="007C6279" w14:paraId="6A120F19" w14:textId="77777777" w:rsidTr="00E544E4">
              <w:tc>
                <w:tcPr>
                  <w:tcW w:w="1246" w:type="pct"/>
                  <w:shd w:val="clear" w:color="auto" w:fill="F2DBDB"/>
                </w:tcPr>
                <w:p w14:paraId="30A889B6" w14:textId="77777777" w:rsidR="007C6279" w:rsidRPr="003D0837" w:rsidRDefault="007C6279" w:rsidP="00E544E4">
                  <w:pPr>
                    <w:rPr>
                      <w:rFonts w:cs="Arial"/>
                      <w:b/>
                      <w:bCs/>
                      <w:i/>
                      <w:iCs/>
                      <w:sz w:val="18"/>
                      <w:szCs w:val="18"/>
                    </w:rPr>
                  </w:pPr>
                  <w:r w:rsidRPr="003D0837">
                    <w:rPr>
                      <w:rFonts w:cs="Arial"/>
                      <w:bCs/>
                      <w:iCs/>
                      <w:sz w:val="18"/>
                      <w:szCs w:val="18"/>
                    </w:rPr>
                    <w:t>Manganese</w:t>
                  </w:r>
                </w:p>
              </w:tc>
              <w:tc>
                <w:tcPr>
                  <w:tcW w:w="776" w:type="pct"/>
                  <w:shd w:val="clear" w:color="auto" w:fill="F2DBDB"/>
                </w:tcPr>
                <w:p w14:paraId="4CB7E4BB"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F2DBDB"/>
                </w:tcPr>
                <w:p w14:paraId="45CEBD10" w14:textId="77777777" w:rsidR="007C6279" w:rsidRPr="003D0837" w:rsidRDefault="007C6279" w:rsidP="00E544E4">
                  <w:pPr>
                    <w:jc w:val="right"/>
                    <w:rPr>
                      <w:rFonts w:cs="Arial"/>
                      <w:sz w:val="18"/>
                      <w:szCs w:val="18"/>
                    </w:rPr>
                  </w:pPr>
                  <w:r w:rsidRPr="003D0837">
                    <w:rPr>
                      <w:rFonts w:cs="Arial"/>
                      <w:sz w:val="18"/>
                      <w:szCs w:val="18"/>
                    </w:rPr>
                    <w:t>36.0</w:t>
                  </w:r>
                </w:p>
              </w:tc>
              <w:tc>
                <w:tcPr>
                  <w:tcW w:w="663" w:type="pct"/>
                  <w:shd w:val="clear" w:color="auto" w:fill="F2DBDB"/>
                </w:tcPr>
                <w:p w14:paraId="2737F491" w14:textId="77777777" w:rsidR="007C6279" w:rsidRPr="003D0837" w:rsidRDefault="007C6279" w:rsidP="00E544E4">
                  <w:pPr>
                    <w:jc w:val="right"/>
                    <w:rPr>
                      <w:rFonts w:cs="Arial"/>
                      <w:sz w:val="18"/>
                      <w:szCs w:val="18"/>
                    </w:rPr>
                  </w:pPr>
                  <w:r w:rsidRPr="003D0837">
                    <w:rPr>
                      <w:rFonts w:cs="Arial"/>
                      <w:sz w:val="18"/>
                      <w:szCs w:val="18"/>
                    </w:rPr>
                    <w:t>100.0</w:t>
                  </w:r>
                </w:p>
              </w:tc>
              <w:tc>
                <w:tcPr>
                  <w:tcW w:w="663" w:type="pct"/>
                  <w:shd w:val="clear" w:color="auto" w:fill="F2DBDB"/>
                </w:tcPr>
                <w:p w14:paraId="28AE2BC7" w14:textId="77777777" w:rsidR="007C6279" w:rsidRPr="003D0837" w:rsidRDefault="007C6279" w:rsidP="00E544E4">
                  <w:pPr>
                    <w:jc w:val="right"/>
                    <w:rPr>
                      <w:rFonts w:cs="Arial"/>
                      <w:sz w:val="18"/>
                      <w:szCs w:val="18"/>
                    </w:rPr>
                  </w:pPr>
                  <w:r w:rsidRPr="003D0837">
                    <w:rPr>
                      <w:rFonts w:cs="Arial"/>
                      <w:sz w:val="18"/>
                      <w:szCs w:val="18"/>
                    </w:rPr>
                    <w:t>810</w:t>
                  </w:r>
                </w:p>
              </w:tc>
              <w:tc>
                <w:tcPr>
                  <w:tcW w:w="989" w:type="pct"/>
                  <w:shd w:val="clear" w:color="auto" w:fill="F2DBDB"/>
                </w:tcPr>
                <w:p w14:paraId="3CD2479C" w14:textId="77777777" w:rsidR="007C6279" w:rsidRPr="003D0837" w:rsidRDefault="007C6279" w:rsidP="00E544E4">
                  <w:pPr>
                    <w:jc w:val="right"/>
                    <w:rPr>
                      <w:rFonts w:cs="Arial"/>
                      <w:sz w:val="18"/>
                      <w:szCs w:val="18"/>
                    </w:rPr>
                  </w:pPr>
                  <w:r w:rsidRPr="003D0837">
                    <w:rPr>
                      <w:rFonts w:cs="Arial"/>
                      <w:sz w:val="18"/>
                      <w:szCs w:val="18"/>
                    </w:rPr>
                    <w:t>4%</w:t>
                  </w:r>
                </w:p>
              </w:tc>
            </w:tr>
            <w:tr w:rsidR="007C6279" w14:paraId="6174844F" w14:textId="77777777" w:rsidTr="00E544E4">
              <w:tc>
                <w:tcPr>
                  <w:tcW w:w="1246" w:type="pct"/>
                  <w:shd w:val="clear" w:color="auto" w:fill="auto"/>
                </w:tcPr>
                <w:p w14:paraId="51DA33B5" w14:textId="77777777" w:rsidR="007C6279" w:rsidRPr="003D0837" w:rsidRDefault="007C6279" w:rsidP="00E544E4">
                  <w:pPr>
                    <w:rPr>
                      <w:rFonts w:cs="Arial"/>
                      <w:b/>
                      <w:bCs/>
                      <w:iCs/>
                      <w:sz w:val="18"/>
                      <w:szCs w:val="18"/>
                    </w:rPr>
                  </w:pPr>
                  <w:r w:rsidRPr="003D0837">
                    <w:rPr>
                      <w:rFonts w:cs="Arial"/>
                      <w:bCs/>
                      <w:iCs/>
                      <w:sz w:val="18"/>
                      <w:szCs w:val="18"/>
                    </w:rPr>
                    <w:t>Rare earths</w:t>
                  </w:r>
                </w:p>
              </w:tc>
              <w:tc>
                <w:tcPr>
                  <w:tcW w:w="776" w:type="pct"/>
                  <w:shd w:val="clear" w:color="auto" w:fill="auto"/>
                </w:tcPr>
                <w:p w14:paraId="3AFE89BC"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auto"/>
                </w:tcPr>
                <w:p w14:paraId="51F6C91D" w14:textId="77777777" w:rsidR="007C6279" w:rsidRPr="003D0837" w:rsidRDefault="007C6279" w:rsidP="00E544E4">
                  <w:pPr>
                    <w:jc w:val="right"/>
                    <w:rPr>
                      <w:rFonts w:cs="Arial"/>
                      <w:sz w:val="18"/>
                      <w:szCs w:val="18"/>
                    </w:rPr>
                  </w:pPr>
                  <w:r w:rsidRPr="003D0837">
                    <w:rPr>
                      <w:rFonts w:cs="Arial"/>
                      <w:sz w:val="18"/>
                      <w:szCs w:val="18"/>
                    </w:rPr>
                    <w:t>2.3</w:t>
                  </w:r>
                </w:p>
              </w:tc>
              <w:tc>
                <w:tcPr>
                  <w:tcW w:w="663" w:type="pct"/>
                  <w:shd w:val="clear" w:color="auto" w:fill="auto"/>
                </w:tcPr>
                <w:p w14:paraId="038E32E2" w14:textId="77777777" w:rsidR="007C6279" w:rsidRPr="003D0837" w:rsidRDefault="007C6279" w:rsidP="00E544E4">
                  <w:pPr>
                    <w:jc w:val="right"/>
                    <w:rPr>
                      <w:rFonts w:cs="Arial"/>
                      <w:sz w:val="18"/>
                      <w:szCs w:val="18"/>
                    </w:rPr>
                  </w:pPr>
                  <w:r w:rsidRPr="003D0837">
                    <w:rPr>
                      <w:rFonts w:cs="Arial"/>
                      <w:sz w:val="18"/>
                      <w:szCs w:val="18"/>
                    </w:rPr>
                    <w:t>3.3</w:t>
                  </w:r>
                </w:p>
              </w:tc>
              <w:tc>
                <w:tcPr>
                  <w:tcW w:w="663" w:type="pct"/>
                  <w:shd w:val="clear" w:color="auto" w:fill="auto"/>
                </w:tcPr>
                <w:p w14:paraId="0142B74F" w14:textId="77777777" w:rsidR="007C6279" w:rsidRPr="003D0837" w:rsidRDefault="007C6279" w:rsidP="00E544E4">
                  <w:pPr>
                    <w:jc w:val="right"/>
                    <w:rPr>
                      <w:rFonts w:cs="Arial"/>
                      <w:sz w:val="18"/>
                      <w:szCs w:val="18"/>
                    </w:rPr>
                  </w:pPr>
                  <w:r w:rsidRPr="003D0837">
                    <w:rPr>
                      <w:rFonts w:cs="Arial"/>
                      <w:sz w:val="18"/>
                      <w:szCs w:val="18"/>
                    </w:rPr>
                    <w:t>120</w:t>
                  </w:r>
                </w:p>
              </w:tc>
              <w:tc>
                <w:tcPr>
                  <w:tcW w:w="989" w:type="pct"/>
                  <w:shd w:val="clear" w:color="auto" w:fill="auto"/>
                </w:tcPr>
                <w:p w14:paraId="777F15CE" w14:textId="77777777" w:rsidR="007C6279" w:rsidRPr="003D0837" w:rsidRDefault="007C6279" w:rsidP="00E544E4">
                  <w:pPr>
                    <w:jc w:val="right"/>
                    <w:rPr>
                      <w:rFonts w:cs="Arial"/>
                      <w:sz w:val="18"/>
                      <w:szCs w:val="18"/>
                    </w:rPr>
                  </w:pPr>
                  <w:r w:rsidRPr="003D0837">
                    <w:rPr>
                      <w:rFonts w:cs="Arial"/>
                      <w:sz w:val="18"/>
                      <w:szCs w:val="18"/>
                    </w:rPr>
                    <w:t>2%</w:t>
                  </w:r>
                </w:p>
              </w:tc>
            </w:tr>
            <w:tr w:rsidR="007C6279" w14:paraId="2BFDBC80" w14:textId="77777777" w:rsidTr="00E544E4">
              <w:tc>
                <w:tcPr>
                  <w:tcW w:w="1246" w:type="pct"/>
                  <w:shd w:val="clear" w:color="auto" w:fill="F2DBDB"/>
                </w:tcPr>
                <w:p w14:paraId="4E04B579" w14:textId="77777777" w:rsidR="007C6279" w:rsidRPr="003D0837" w:rsidRDefault="007C6279" w:rsidP="00E544E4">
                  <w:pPr>
                    <w:rPr>
                      <w:rFonts w:cs="Arial"/>
                      <w:b/>
                      <w:bCs/>
                      <w:i/>
                      <w:iCs/>
                      <w:sz w:val="18"/>
                      <w:szCs w:val="18"/>
                    </w:rPr>
                  </w:pPr>
                  <w:r w:rsidRPr="003D0837">
                    <w:rPr>
                      <w:rFonts w:cs="Arial"/>
                      <w:bCs/>
                      <w:iCs/>
                      <w:sz w:val="18"/>
                      <w:szCs w:val="18"/>
                    </w:rPr>
                    <w:t>Copper</w:t>
                  </w:r>
                </w:p>
              </w:tc>
              <w:tc>
                <w:tcPr>
                  <w:tcW w:w="776" w:type="pct"/>
                  <w:shd w:val="clear" w:color="auto" w:fill="F2DBDB"/>
                </w:tcPr>
                <w:p w14:paraId="25B2B694"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F2DBDB"/>
                </w:tcPr>
                <w:p w14:paraId="54131A84" w14:textId="77777777" w:rsidR="007C6279" w:rsidRPr="003D0837" w:rsidRDefault="007C6279" w:rsidP="00E544E4">
                  <w:pPr>
                    <w:jc w:val="right"/>
                    <w:rPr>
                      <w:rFonts w:cs="Arial"/>
                      <w:sz w:val="18"/>
                      <w:szCs w:val="18"/>
                    </w:rPr>
                  </w:pPr>
                  <w:r w:rsidRPr="003D0837">
                    <w:rPr>
                      <w:rFonts w:cs="Arial"/>
                      <w:sz w:val="18"/>
                      <w:szCs w:val="18"/>
                    </w:rPr>
                    <w:t>5.2</w:t>
                  </w:r>
                </w:p>
              </w:tc>
              <w:tc>
                <w:tcPr>
                  <w:tcW w:w="663" w:type="pct"/>
                  <w:shd w:val="clear" w:color="auto" w:fill="F2DBDB"/>
                </w:tcPr>
                <w:p w14:paraId="7BED101E" w14:textId="77777777" w:rsidR="007C6279" w:rsidRPr="003D0837" w:rsidRDefault="007C6279" w:rsidP="00E544E4">
                  <w:pPr>
                    <w:jc w:val="right"/>
                    <w:rPr>
                      <w:rFonts w:cs="Arial"/>
                      <w:sz w:val="18"/>
                      <w:szCs w:val="18"/>
                    </w:rPr>
                  </w:pPr>
                  <w:r w:rsidRPr="003D0837">
                    <w:rPr>
                      <w:rFonts w:cs="Arial"/>
                      <w:sz w:val="18"/>
                      <w:szCs w:val="18"/>
                    </w:rPr>
                    <w:t>87.0</w:t>
                  </w:r>
                </w:p>
              </w:tc>
              <w:tc>
                <w:tcPr>
                  <w:tcW w:w="663" w:type="pct"/>
                  <w:shd w:val="clear" w:color="auto" w:fill="F2DBDB"/>
                </w:tcPr>
                <w:p w14:paraId="50904AC1" w14:textId="77777777" w:rsidR="007C6279" w:rsidRPr="003D0837" w:rsidRDefault="007C6279" w:rsidP="00E544E4">
                  <w:pPr>
                    <w:jc w:val="right"/>
                    <w:rPr>
                      <w:rFonts w:cs="Arial"/>
                      <w:sz w:val="18"/>
                      <w:szCs w:val="18"/>
                    </w:rPr>
                  </w:pPr>
                  <w:r w:rsidRPr="003D0837">
                    <w:rPr>
                      <w:rFonts w:cs="Arial"/>
                      <w:sz w:val="18"/>
                      <w:szCs w:val="18"/>
                    </w:rPr>
                    <w:t>870</w:t>
                  </w:r>
                </w:p>
              </w:tc>
              <w:tc>
                <w:tcPr>
                  <w:tcW w:w="989" w:type="pct"/>
                  <w:shd w:val="clear" w:color="auto" w:fill="F2DBDB"/>
                </w:tcPr>
                <w:p w14:paraId="4A90B1B1" w14:textId="77777777" w:rsidR="007C6279" w:rsidRPr="003D0837" w:rsidRDefault="007C6279" w:rsidP="00E544E4">
                  <w:pPr>
                    <w:jc w:val="right"/>
                    <w:rPr>
                      <w:rFonts w:cs="Arial"/>
                      <w:sz w:val="18"/>
                      <w:szCs w:val="18"/>
                    </w:rPr>
                  </w:pPr>
                  <w:r w:rsidRPr="003D0837">
                    <w:rPr>
                      <w:rFonts w:cs="Arial"/>
                      <w:sz w:val="18"/>
                      <w:szCs w:val="18"/>
                    </w:rPr>
                    <w:t>1%</w:t>
                  </w:r>
                </w:p>
              </w:tc>
            </w:tr>
            <w:tr w:rsidR="007C6279" w14:paraId="2FBB04FC" w14:textId="77777777" w:rsidTr="00E544E4">
              <w:tc>
                <w:tcPr>
                  <w:tcW w:w="1246" w:type="pct"/>
                  <w:shd w:val="clear" w:color="auto" w:fill="auto"/>
                </w:tcPr>
                <w:p w14:paraId="4035553D" w14:textId="77777777" w:rsidR="007C6279" w:rsidRPr="003D0837" w:rsidRDefault="007C6279" w:rsidP="00E544E4">
                  <w:pPr>
                    <w:rPr>
                      <w:rFonts w:cs="Arial"/>
                      <w:b/>
                      <w:bCs/>
                      <w:i/>
                      <w:iCs/>
                      <w:sz w:val="18"/>
                      <w:szCs w:val="18"/>
                    </w:rPr>
                  </w:pPr>
                  <w:r w:rsidRPr="003D0837">
                    <w:rPr>
                      <w:rFonts w:cs="Arial"/>
                      <w:bCs/>
                      <w:iCs/>
                      <w:sz w:val="18"/>
                      <w:szCs w:val="18"/>
                    </w:rPr>
                    <w:t>Graphite</w:t>
                  </w:r>
                </w:p>
              </w:tc>
              <w:tc>
                <w:tcPr>
                  <w:tcW w:w="776" w:type="pct"/>
                  <w:shd w:val="clear" w:color="auto" w:fill="auto"/>
                </w:tcPr>
                <w:p w14:paraId="5913DDB9" w14:textId="77777777" w:rsidR="007C6279" w:rsidRPr="003D0837" w:rsidRDefault="007C6279" w:rsidP="00E544E4">
                  <w:pPr>
                    <w:jc w:val="center"/>
                    <w:rPr>
                      <w:rFonts w:cs="Arial"/>
                      <w:sz w:val="18"/>
                      <w:szCs w:val="18"/>
                    </w:rPr>
                  </w:pPr>
                  <w:r w:rsidRPr="003D0837">
                    <w:rPr>
                      <w:rFonts w:cs="Arial"/>
                      <w:sz w:val="18"/>
                      <w:szCs w:val="18"/>
                    </w:rPr>
                    <w:t>Mt</w:t>
                  </w:r>
                </w:p>
              </w:tc>
              <w:tc>
                <w:tcPr>
                  <w:tcW w:w="663" w:type="pct"/>
                  <w:shd w:val="clear" w:color="auto" w:fill="auto"/>
                </w:tcPr>
                <w:p w14:paraId="6A2DF6DE" w14:textId="77777777" w:rsidR="007C6279" w:rsidRPr="003D0837" w:rsidRDefault="007C6279" w:rsidP="00E544E4">
                  <w:pPr>
                    <w:jc w:val="right"/>
                    <w:rPr>
                      <w:rFonts w:cs="Arial"/>
                      <w:sz w:val="18"/>
                      <w:szCs w:val="18"/>
                    </w:rPr>
                  </w:pPr>
                  <w:r w:rsidRPr="003D0837">
                    <w:rPr>
                      <w:rFonts w:cs="Arial"/>
                      <w:sz w:val="18"/>
                      <w:szCs w:val="18"/>
                    </w:rPr>
                    <w:t>1.3</w:t>
                  </w:r>
                </w:p>
              </w:tc>
              <w:tc>
                <w:tcPr>
                  <w:tcW w:w="663" w:type="pct"/>
                  <w:shd w:val="clear" w:color="auto" w:fill="auto"/>
                </w:tcPr>
                <w:p w14:paraId="00649BBD" w14:textId="77777777" w:rsidR="007C6279" w:rsidRPr="003D0837" w:rsidRDefault="007C6279" w:rsidP="00E544E4">
                  <w:pPr>
                    <w:jc w:val="right"/>
                    <w:rPr>
                      <w:rFonts w:cs="Arial"/>
                      <w:sz w:val="18"/>
                      <w:szCs w:val="18"/>
                    </w:rPr>
                  </w:pPr>
                  <w:r w:rsidRPr="003D0837">
                    <w:rPr>
                      <w:rFonts w:cs="Arial"/>
                      <w:sz w:val="18"/>
                      <w:szCs w:val="18"/>
                    </w:rPr>
                    <w:t>7.1</w:t>
                  </w:r>
                </w:p>
              </w:tc>
              <w:tc>
                <w:tcPr>
                  <w:tcW w:w="663" w:type="pct"/>
                  <w:shd w:val="clear" w:color="auto" w:fill="auto"/>
                </w:tcPr>
                <w:p w14:paraId="2EB74328" w14:textId="77777777" w:rsidR="007C6279" w:rsidRPr="003D0837" w:rsidRDefault="007C6279" w:rsidP="00E544E4">
                  <w:pPr>
                    <w:jc w:val="right"/>
                    <w:rPr>
                      <w:rFonts w:cs="Arial"/>
                      <w:sz w:val="18"/>
                      <w:szCs w:val="18"/>
                    </w:rPr>
                  </w:pPr>
                  <w:r w:rsidRPr="003D0837">
                    <w:rPr>
                      <w:rFonts w:cs="Arial"/>
                      <w:sz w:val="18"/>
                      <w:szCs w:val="18"/>
                    </w:rPr>
                    <w:t>300</w:t>
                  </w:r>
                </w:p>
              </w:tc>
              <w:tc>
                <w:tcPr>
                  <w:tcW w:w="989" w:type="pct"/>
                  <w:shd w:val="clear" w:color="auto" w:fill="auto"/>
                </w:tcPr>
                <w:p w14:paraId="4798106D" w14:textId="77777777" w:rsidR="007C6279" w:rsidRPr="003D0837" w:rsidRDefault="007C6279" w:rsidP="00E544E4">
                  <w:pPr>
                    <w:jc w:val="right"/>
                    <w:rPr>
                      <w:rFonts w:cs="Arial"/>
                      <w:sz w:val="18"/>
                      <w:szCs w:val="18"/>
                    </w:rPr>
                  </w:pPr>
                  <w:r w:rsidRPr="003D0837">
                    <w:rPr>
                      <w:rFonts w:cs="Arial"/>
                      <w:sz w:val="18"/>
                      <w:szCs w:val="18"/>
                    </w:rPr>
                    <w:t>0.4%</w:t>
                  </w:r>
                </w:p>
              </w:tc>
            </w:tr>
          </w:tbl>
          <w:p w14:paraId="34BAF3CA" w14:textId="77777777" w:rsidR="007C6279" w:rsidRPr="00E84F58" w:rsidRDefault="007C6279" w:rsidP="00E544E4">
            <w:pPr>
              <w:jc w:val="center"/>
              <w:rPr>
                <w:rFonts w:cs="Arial"/>
                <w:sz w:val="20"/>
                <w:szCs w:val="20"/>
              </w:rPr>
            </w:pPr>
          </w:p>
        </w:tc>
        <w:tc>
          <w:tcPr>
            <w:tcW w:w="3969" w:type="dxa"/>
            <w:vMerge/>
            <w:shd w:val="clear" w:color="auto" w:fill="auto"/>
          </w:tcPr>
          <w:p w14:paraId="032767B9" w14:textId="77777777" w:rsidR="007C6279" w:rsidRPr="00E84F58" w:rsidRDefault="007C6279" w:rsidP="00E544E4">
            <w:pPr>
              <w:rPr>
                <w:rFonts w:cs="Arial"/>
                <w:sz w:val="20"/>
                <w:szCs w:val="20"/>
              </w:rPr>
            </w:pPr>
          </w:p>
        </w:tc>
      </w:tr>
      <w:tr w:rsidR="007C6279" w:rsidRPr="00E84F58" w14:paraId="1213AA57" w14:textId="77777777" w:rsidTr="00E544E4">
        <w:tc>
          <w:tcPr>
            <w:tcW w:w="6661" w:type="dxa"/>
            <w:shd w:val="clear" w:color="auto" w:fill="auto"/>
          </w:tcPr>
          <w:p w14:paraId="65432A71" w14:textId="77777777" w:rsidR="007C6279" w:rsidRDefault="007C6279" w:rsidP="00E544E4">
            <w:pPr>
              <w:rPr>
                <w:rFonts w:cs="Arial"/>
                <w:sz w:val="10"/>
                <w:szCs w:val="20"/>
              </w:rPr>
            </w:pPr>
            <w:r w:rsidRPr="00B2570A">
              <w:rPr>
                <w:rFonts w:cs="Arial"/>
                <w:sz w:val="10"/>
                <w:szCs w:val="20"/>
                <w:vertAlign w:val="superscript"/>
              </w:rPr>
              <w:t xml:space="preserve">1 </w:t>
            </w:r>
            <w:r>
              <w:rPr>
                <w:rFonts w:cs="Arial"/>
                <w:sz w:val="10"/>
                <w:szCs w:val="20"/>
              </w:rPr>
              <w:t xml:space="preserve">Estimated from Australia’s battery minerals reserves. </w:t>
            </w:r>
          </w:p>
          <w:p w14:paraId="5CC01DC5" w14:textId="77777777" w:rsidR="007C6279" w:rsidRPr="00E04BAA" w:rsidRDefault="007C6279" w:rsidP="00E544E4">
            <w:pPr>
              <w:rPr>
                <w:rFonts w:cs="Arial"/>
                <w:sz w:val="10"/>
                <w:szCs w:val="20"/>
              </w:rPr>
            </w:pPr>
            <w:r>
              <w:rPr>
                <w:rFonts w:cs="Arial"/>
                <w:sz w:val="10"/>
                <w:szCs w:val="20"/>
              </w:rPr>
              <w:t>Source: US Geological Survey, Mineral Commodity Summaries; and Geoscience Australia.</w:t>
            </w:r>
          </w:p>
        </w:tc>
        <w:tc>
          <w:tcPr>
            <w:tcW w:w="3969" w:type="dxa"/>
            <w:vMerge/>
            <w:shd w:val="clear" w:color="auto" w:fill="auto"/>
          </w:tcPr>
          <w:p w14:paraId="5142FDE9" w14:textId="77777777" w:rsidR="007C6279" w:rsidRPr="00E84F58" w:rsidRDefault="007C6279" w:rsidP="00E544E4">
            <w:pPr>
              <w:rPr>
                <w:rFonts w:cs="Arial"/>
                <w:sz w:val="20"/>
                <w:szCs w:val="20"/>
              </w:rPr>
            </w:pPr>
          </w:p>
        </w:tc>
      </w:tr>
    </w:tbl>
    <w:p w14:paraId="177A8527" w14:textId="77777777" w:rsidR="007C6279" w:rsidRPr="00BC4065"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3BA9CBE7" w14:textId="77777777" w:rsidTr="00E544E4">
        <w:tc>
          <w:tcPr>
            <w:tcW w:w="6661" w:type="dxa"/>
            <w:shd w:val="clear" w:color="auto" w:fill="C0504D"/>
          </w:tcPr>
          <w:p w14:paraId="5252EFD3" w14:textId="77777777" w:rsidR="007C6279" w:rsidRPr="00E84F58" w:rsidRDefault="007C6279" w:rsidP="00E544E4">
            <w:pPr>
              <w:jc w:val="center"/>
              <w:rPr>
                <w:rFonts w:cs="Arial"/>
                <w:sz w:val="20"/>
                <w:szCs w:val="20"/>
              </w:rPr>
            </w:pPr>
            <w:r w:rsidRPr="00C90210">
              <w:rPr>
                <w:rFonts w:cs="Arial"/>
                <w:color w:val="FFFFFF"/>
                <w:sz w:val="20"/>
                <w:szCs w:val="20"/>
              </w:rPr>
              <w:t>Total cash cost</w:t>
            </w:r>
            <w:r w:rsidRPr="00BF55FF">
              <w:rPr>
                <w:rFonts w:cs="Arial"/>
                <w:color w:val="FFFFFF"/>
                <w:sz w:val="20"/>
                <w:szCs w:val="20"/>
                <w:vertAlign w:val="superscript"/>
              </w:rPr>
              <w:t>1</w:t>
            </w:r>
            <w:r w:rsidRPr="00C90210">
              <w:rPr>
                <w:rFonts w:cs="Arial"/>
                <w:color w:val="FFFFFF"/>
                <w:sz w:val="20"/>
                <w:szCs w:val="20"/>
              </w:rPr>
              <w:t xml:space="preserve"> of seaborne </w:t>
            </w:r>
            <w:r>
              <w:rPr>
                <w:rFonts w:cs="Arial"/>
                <w:color w:val="FFFFFF"/>
                <w:sz w:val="20"/>
                <w:szCs w:val="20"/>
              </w:rPr>
              <w:t>lithium</w:t>
            </w:r>
            <w:r w:rsidRPr="00C90210">
              <w:rPr>
                <w:rFonts w:cs="Arial"/>
                <w:color w:val="FFFFFF"/>
                <w:sz w:val="20"/>
                <w:szCs w:val="20"/>
              </w:rPr>
              <w:t xml:space="preserve"> </w:t>
            </w:r>
            <w:r>
              <w:rPr>
                <w:rFonts w:cs="Arial"/>
                <w:color w:val="FFFFFF"/>
                <w:sz w:val="20"/>
                <w:szCs w:val="20"/>
              </w:rPr>
              <w:t>producers</w:t>
            </w:r>
            <w:r w:rsidRPr="00C90210">
              <w:rPr>
                <w:rFonts w:cs="Arial"/>
                <w:color w:val="FFFFFF"/>
                <w:sz w:val="20"/>
                <w:szCs w:val="20"/>
              </w:rPr>
              <w:t>: 201</w:t>
            </w:r>
            <w:r>
              <w:rPr>
                <w:rFonts w:cs="Arial"/>
                <w:color w:val="FFFFFF"/>
                <w:sz w:val="20"/>
                <w:szCs w:val="20"/>
              </w:rPr>
              <w:t>9</w:t>
            </w:r>
          </w:p>
        </w:tc>
        <w:tc>
          <w:tcPr>
            <w:tcW w:w="3969" w:type="dxa"/>
            <w:vMerge w:val="restart"/>
            <w:shd w:val="clear" w:color="auto" w:fill="auto"/>
            <w:vAlign w:val="center"/>
          </w:tcPr>
          <w:p w14:paraId="52C75681" w14:textId="77777777" w:rsidR="007C6279" w:rsidRPr="00FF4AC2" w:rsidRDefault="007C6279" w:rsidP="00E544E4">
            <w:pPr>
              <w:numPr>
                <w:ilvl w:val="0"/>
                <w:numId w:val="12"/>
              </w:numPr>
              <w:rPr>
                <w:rFonts w:cs="Arial"/>
                <w:sz w:val="20"/>
                <w:szCs w:val="20"/>
              </w:rPr>
            </w:pPr>
            <w:r w:rsidRPr="00FF4AC2">
              <w:rPr>
                <w:rFonts w:cs="Arial"/>
                <w:sz w:val="18"/>
                <w:szCs w:val="20"/>
              </w:rPr>
              <w:t>Western Australia’s lithium producers are among the world’s lowest cost seaborne lithium exporters.</w:t>
            </w:r>
          </w:p>
          <w:p w14:paraId="444E7F6F" w14:textId="77777777" w:rsidR="007C6279" w:rsidRPr="006A3301" w:rsidRDefault="007C6279" w:rsidP="00E544E4">
            <w:pPr>
              <w:numPr>
                <w:ilvl w:val="0"/>
                <w:numId w:val="12"/>
              </w:numPr>
              <w:rPr>
                <w:rFonts w:cs="Arial"/>
                <w:sz w:val="20"/>
                <w:szCs w:val="20"/>
              </w:rPr>
            </w:pPr>
            <w:r w:rsidRPr="006A3301">
              <w:rPr>
                <w:rFonts w:cs="Arial"/>
                <w:sz w:val="18"/>
                <w:szCs w:val="20"/>
              </w:rPr>
              <w:t>The average total cash cost</w:t>
            </w:r>
            <w:r w:rsidRPr="006A3301">
              <w:rPr>
                <w:rFonts w:cs="Arial"/>
                <w:sz w:val="18"/>
                <w:szCs w:val="20"/>
                <w:vertAlign w:val="superscript"/>
              </w:rPr>
              <w:t>1</w:t>
            </w:r>
            <w:r w:rsidRPr="006A3301">
              <w:rPr>
                <w:rFonts w:cs="Arial"/>
                <w:sz w:val="18"/>
                <w:szCs w:val="20"/>
              </w:rPr>
              <w:t xml:space="preserve"> of Western Australia’s lithium exports was US$2,486 a lithium carbonate equivalent (LCE) in 2019, well below the world average of US$4,084/LCE.</w:t>
            </w:r>
          </w:p>
          <w:p w14:paraId="127BA6BC" w14:textId="77777777" w:rsidR="007C6279" w:rsidRPr="006A3301" w:rsidRDefault="007C6279" w:rsidP="00E544E4">
            <w:pPr>
              <w:numPr>
                <w:ilvl w:val="0"/>
                <w:numId w:val="12"/>
              </w:numPr>
              <w:rPr>
                <w:rFonts w:cs="Arial"/>
                <w:sz w:val="20"/>
                <w:szCs w:val="20"/>
              </w:rPr>
            </w:pPr>
            <w:r w:rsidRPr="006A3301">
              <w:rPr>
                <w:rFonts w:cs="Arial"/>
                <w:sz w:val="18"/>
                <w:szCs w:val="20"/>
              </w:rPr>
              <w:t>In 2019, the average total cash cost of Western Australia’s exports of:</w:t>
            </w:r>
          </w:p>
          <w:p w14:paraId="2CB832DF" w14:textId="77777777" w:rsidR="007C6279" w:rsidRPr="006A3301" w:rsidRDefault="007C6279" w:rsidP="00E544E4">
            <w:pPr>
              <w:numPr>
                <w:ilvl w:val="1"/>
                <w:numId w:val="12"/>
              </w:numPr>
              <w:ind w:left="745" w:hanging="288"/>
              <w:rPr>
                <w:rFonts w:cs="Arial"/>
                <w:sz w:val="20"/>
                <w:szCs w:val="20"/>
              </w:rPr>
            </w:pPr>
            <w:r w:rsidRPr="006A3301">
              <w:rPr>
                <w:rFonts w:cs="Arial"/>
                <w:sz w:val="18"/>
                <w:szCs w:val="20"/>
              </w:rPr>
              <w:t>Nickel was US$8,554/t (world average was US$8,395/t).</w:t>
            </w:r>
          </w:p>
          <w:p w14:paraId="31844DCF" w14:textId="77777777" w:rsidR="007C6279" w:rsidRPr="006A3301" w:rsidRDefault="007C6279" w:rsidP="00E544E4">
            <w:pPr>
              <w:numPr>
                <w:ilvl w:val="1"/>
                <w:numId w:val="12"/>
              </w:numPr>
              <w:ind w:left="745" w:hanging="288"/>
              <w:rPr>
                <w:rFonts w:cs="Arial"/>
                <w:sz w:val="20"/>
                <w:szCs w:val="20"/>
              </w:rPr>
            </w:pPr>
            <w:r w:rsidRPr="006A3301">
              <w:rPr>
                <w:rFonts w:cs="Arial"/>
                <w:sz w:val="18"/>
                <w:szCs w:val="20"/>
              </w:rPr>
              <w:t>Copper was US$3,990/t (world average was US$3,497/t).</w:t>
            </w:r>
          </w:p>
        </w:tc>
      </w:tr>
      <w:tr w:rsidR="007C6279" w:rsidRPr="00E84F58" w14:paraId="23398306" w14:textId="77777777" w:rsidTr="00E544E4">
        <w:tc>
          <w:tcPr>
            <w:tcW w:w="6661" w:type="dxa"/>
            <w:shd w:val="clear" w:color="auto" w:fill="auto"/>
          </w:tcPr>
          <w:p w14:paraId="7C001E41" w14:textId="77777777" w:rsidR="007C6279" w:rsidRPr="00E84F58" w:rsidRDefault="00901C04" w:rsidP="00E544E4">
            <w:pPr>
              <w:jc w:val="center"/>
              <w:rPr>
                <w:rFonts w:cs="Arial"/>
                <w:sz w:val="20"/>
                <w:szCs w:val="20"/>
              </w:rPr>
            </w:pPr>
            <w:r>
              <w:rPr>
                <w:rFonts w:cs="Arial"/>
                <w:sz w:val="20"/>
                <w:szCs w:val="20"/>
              </w:rPr>
              <w:pict w14:anchorId="6D26E2CB">
                <v:shape id="_x0000_i1028" type="#_x0000_t75" style="width:298pt;height:167.35pt;mso-left-percent:-10001;mso-top-percent:-10001;mso-position-horizontal:absolute;mso-position-horizontal-relative:char;mso-position-vertical:absolute;mso-position-vertical-relative:line;mso-left-percent:-10001;mso-top-percent:-10001">
                  <v:imagedata r:id="rId15" o:title=""/>
                </v:shape>
              </w:pict>
            </w:r>
          </w:p>
        </w:tc>
        <w:tc>
          <w:tcPr>
            <w:tcW w:w="3969" w:type="dxa"/>
            <w:vMerge/>
            <w:shd w:val="clear" w:color="auto" w:fill="auto"/>
          </w:tcPr>
          <w:p w14:paraId="2B958C71" w14:textId="77777777" w:rsidR="007C6279" w:rsidRPr="00E84F58" w:rsidRDefault="007C6279" w:rsidP="00E544E4">
            <w:pPr>
              <w:rPr>
                <w:rFonts w:cs="Arial"/>
                <w:sz w:val="20"/>
                <w:szCs w:val="20"/>
              </w:rPr>
            </w:pPr>
          </w:p>
        </w:tc>
      </w:tr>
      <w:tr w:rsidR="007C6279" w:rsidRPr="00E84F58" w14:paraId="4E4245EC" w14:textId="77777777" w:rsidTr="00E544E4">
        <w:tc>
          <w:tcPr>
            <w:tcW w:w="6661" w:type="dxa"/>
            <w:shd w:val="clear" w:color="auto" w:fill="auto"/>
          </w:tcPr>
          <w:p w14:paraId="70644AF4" w14:textId="77777777" w:rsidR="007C6279" w:rsidRDefault="007C6279" w:rsidP="00E544E4">
            <w:pPr>
              <w:rPr>
                <w:rFonts w:cs="Arial"/>
                <w:sz w:val="10"/>
                <w:szCs w:val="20"/>
              </w:rPr>
            </w:pPr>
            <w:r w:rsidRPr="0089047C">
              <w:rPr>
                <w:rFonts w:cs="Arial"/>
                <w:sz w:val="10"/>
                <w:szCs w:val="20"/>
                <w:vertAlign w:val="superscript"/>
              </w:rPr>
              <w:t>1</w:t>
            </w:r>
            <w:r>
              <w:rPr>
                <w:rFonts w:cs="Arial"/>
                <w:sz w:val="10"/>
                <w:szCs w:val="20"/>
              </w:rPr>
              <w:t xml:space="preserve"> Production costs for different lithium products and grades are adjusted to a benchmark product (lithium carbonate equivalent).</w:t>
            </w:r>
          </w:p>
          <w:p w14:paraId="529C614F" w14:textId="77777777" w:rsidR="007C6279" w:rsidRPr="00E04BAA" w:rsidRDefault="007C6279" w:rsidP="00E544E4">
            <w:pPr>
              <w:rPr>
                <w:rFonts w:cs="Arial"/>
                <w:sz w:val="10"/>
                <w:szCs w:val="20"/>
              </w:rPr>
            </w:pPr>
            <w:r>
              <w:rPr>
                <w:rFonts w:cs="Arial"/>
                <w:sz w:val="10"/>
                <w:szCs w:val="20"/>
              </w:rPr>
              <w:t>Source: S&amp;P Global Market Intelligence, Mine Economics Model.</w:t>
            </w:r>
          </w:p>
        </w:tc>
        <w:tc>
          <w:tcPr>
            <w:tcW w:w="3969" w:type="dxa"/>
            <w:vMerge/>
            <w:shd w:val="clear" w:color="auto" w:fill="auto"/>
          </w:tcPr>
          <w:p w14:paraId="544DF87A" w14:textId="77777777" w:rsidR="007C6279" w:rsidRPr="00E84F58" w:rsidRDefault="007C6279" w:rsidP="00E544E4">
            <w:pPr>
              <w:rPr>
                <w:rFonts w:cs="Arial"/>
                <w:sz w:val="20"/>
                <w:szCs w:val="20"/>
              </w:rPr>
            </w:pPr>
          </w:p>
        </w:tc>
      </w:tr>
    </w:tbl>
    <w:p w14:paraId="5F815443" w14:textId="77777777" w:rsidR="007C6279" w:rsidRPr="00BC4065"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5EAA8512" w14:textId="77777777" w:rsidTr="00E544E4">
        <w:tc>
          <w:tcPr>
            <w:tcW w:w="6661" w:type="dxa"/>
            <w:shd w:val="clear" w:color="auto" w:fill="C0504D"/>
          </w:tcPr>
          <w:p w14:paraId="7F8A6CE5" w14:textId="77777777" w:rsidR="007C6279" w:rsidRPr="00E84F58" w:rsidRDefault="007C6279" w:rsidP="00E544E4">
            <w:pPr>
              <w:jc w:val="center"/>
              <w:rPr>
                <w:rFonts w:cs="Arial"/>
                <w:sz w:val="20"/>
                <w:szCs w:val="20"/>
              </w:rPr>
            </w:pPr>
            <w:r>
              <w:rPr>
                <w:rFonts w:cs="Arial"/>
                <w:color w:val="FFFFFF"/>
                <w:sz w:val="20"/>
                <w:szCs w:val="20"/>
              </w:rPr>
              <w:t>Battery minerals</w:t>
            </w:r>
            <w:r w:rsidRPr="00531E87">
              <w:rPr>
                <w:rFonts w:cs="Arial"/>
                <w:color w:val="FFFFFF"/>
                <w:sz w:val="20"/>
                <w:szCs w:val="20"/>
                <w:vertAlign w:val="superscript"/>
              </w:rPr>
              <w:t>1</w:t>
            </w:r>
            <w:r w:rsidRPr="00C90210">
              <w:rPr>
                <w:rFonts w:cs="Arial"/>
                <w:color w:val="FFFFFF"/>
                <w:sz w:val="20"/>
                <w:szCs w:val="20"/>
              </w:rPr>
              <w:t xml:space="preserve"> export</w:t>
            </w:r>
            <w:r>
              <w:rPr>
                <w:rFonts w:cs="Arial"/>
                <w:color w:val="FFFFFF"/>
                <w:sz w:val="20"/>
                <w:szCs w:val="20"/>
              </w:rPr>
              <w:t xml:space="preserve"> market</w:t>
            </w:r>
            <w:r w:rsidRPr="00C90210">
              <w:rPr>
                <w:rFonts w:cs="Arial"/>
                <w:color w:val="FFFFFF"/>
                <w:sz w:val="20"/>
                <w:szCs w:val="20"/>
              </w:rPr>
              <w:t>s</w:t>
            </w:r>
            <w:r>
              <w:rPr>
                <w:rFonts w:cs="Arial"/>
                <w:color w:val="FFFFFF"/>
                <w:sz w:val="20"/>
                <w:szCs w:val="20"/>
              </w:rPr>
              <w:t xml:space="preserve"> (selected)</w:t>
            </w:r>
          </w:p>
        </w:tc>
        <w:tc>
          <w:tcPr>
            <w:tcW w:w="3969" w:type="dxa"/>
            <w:vMerge w:val="restart"/>
            <w:shd w:val="clear" w:color="auto" w:fill="auto"/>
            <w:vAlign w:val="center"/>
          </w:tcPr>
          <w:p w14:paraId="2C44C36F" w14:textId="77777777" w:rsidR="00214D4F" w:rsidRPr="007D1998" w:rsidRDefault="00974C2D" w:rsidP="00E544E4">
            <w:pPr>
              <w:numPr>
                <w:ilvl w:val="0"/>
                <w:numId w:val="12"/>
              </w:numPr>
              <w:rPr>
                <w:rFonts w:cs="Arial"/>
                <w:sz w:val="18"/>
                <w:szCs w:val="20"/>
              </w:rPr>
            </w:pPr>
            <w:r w:rsidRPr="007D1998">
              <w:rPr>
                <w:rFonts w:cs="Arial"/>
                <w:sz w:val="18"/>
                <w:szCs w:val="20"/>
              </w:rPr>
              <w:t>China accounted for 52</w:t>
            </w:r>
            <w:r w:rsidR="007C6279" w:rsidRPr="007D1998">
              <w:rPr>
                <w:rFonts w:cs="Arial"/>
                <w:sz w:val="18"/>
                <w:szCs w:val="20"/>
              </w:rPr>
              <w:t>% of Western Austr</w:t>
            </w:r>
            <w:r w:rsidRPr="007D1998">
              <w:rPr>
                <w:rFonts w:cs="Arial"/>
                <w:sz w:val="18"/>
                <w:szCs w:val="20"/>
              </w:rPr>
              <w:t xml:space="preserve">alia’s battery minerals exports </w:t>
            </w:r>
            <w:r w:rsidR="007C6279" w:rsidRPr="007D1998">
              <w:rPr>
                <w:rFonts w:cs="Arial"/>
                <w:sz w:val="18"/>
                <w:szCs w:val="20"/>
              </w:rPr>
              <w:t>in 2019</w:t>
            </w:r>
            <w:r w:rsidRPr="007D1998">
              <w:rPr>
                <w:rFonts w:cs="Arial"/>
                <w:sz w:val="18"/>
                <w:szCs w:val="20"/>
              </w:rPr>
              <w:t>-20</w:t>
            </w:r>
            <w:r w:rsidR="00214D4F" w:rsidRPr="007D1998">
              <w:rPr>
                <w:rFonts w:cs="Arial"/>
                <w:sz w:val="18"/>
                <w:szCs w:val="20"/>
              </w:rPr>
              <w:t xml:space="preserve">. </w:t>
            </w:r>
          </w:p>
          <w:p w14:paraId="7C80963B" w14:textId="33859F82" w:rsidR="007C6279" w:rsidRPr="007D1998" w:rsidRDefault="00214D4F" w:rsidP="00E544E4">
            <w:pPr>
              <w:numPr>
                <w:ilvl w:val="0"/>
                <w:numId w:val="12"/>
              </w:numPr>
              <w:rPr>
                <w:rFonts w:cs="Arial"/>
                <w:sz w:val="18"/>
                <w:szCs w:val="20"/>
              </w:rPr>
            </w:pPr>
            <w:r w:rsidRPr="007D1998">
              <w:rPr>
                <w:rFonts w:cs="Arial"/>
                <w:sz w:val="18"/>
                <w:szCs w:val="20"/>
              </w:rPr>
              <w:t xml:space="preserve">The </w:t>
            </w:r>
            <w:r w:rsidR="00974C2D" w:rsidRPr="007D1998">
              <w:rPr>
                <w:rFonts w:cs="Arial"/>
                <w:sz w:val="18"/>
                <w:szCs w:val="20"/>
              </w:rPr>
              <w:t xml:space="preserve">value of </w:t>
            </w:r>
            <w:r w:rsidRPr="007D1998">
              <w:rPr>
                <w:rFonts w:cs="Arial"/>
                <w:sz w:val="18"/>
                <w:szCs w:val="20"/>
              </w:rPr>
              <w:t xml:space="preserve">Western Australia’s battery minerals </w:t>
            </w:r>
            <w:r w:rsidR="00974C2D" w:rsidRPr="007D1998">
              <w:rPr>
                <w:rFonts w:cs="Arial"/>
                <w:sz w:val="18"/>
                <w:szCs w:val="20"/>
              </w:rPr>
              <w:t>exports to China r</w:t>
            </w:r>
            <w:r w:rsidRPr="007D1998">
              <w:rPr>
                <w:rFonts w:cs="Arial"/>
                <w:sz w:val="18"/>
                <w:szCs w:val="20"/>
              </w:rPr>
              <w:t>ose</w:t>
            </w:r>
            <w:r w:rsidR="00974C2D" w:rsidRPr="007D1998">
              <w:rPr>
                <w:rFonts w:cs="Arial"/>
                <w:sz w:val="18"/>
                <w:szCs w:val="20"/>
              </w:rPr>
              <w:t xml:space="preserve"> 3</w:t>
            </w:r>
            <w:r w:rsidR="007C6279" w:rsidRPr="007D1998">
              <w:rPr>
                <w:rFonts w:cs="Arial"/>
                <w:sz w:val="18"/>
                <w:szCs w:val="20"/>
              </w:rPr>
              <w:t>% to $</w:t>
            </w:r>
            <w:r w:rsidR="00974C2D" w:rsidRPr="007D1998">
              <w:rPr>
                <w:rFonts w:cs="Arial"/>
                <w:sz w:val="18"/>
                <w:szCs w:val="20"/>
              </w:rPr>
              <w:t>3.6</w:t>
            </w:r>
            <w:r w:rsidR="007C6279" w:rsidRPr="007D1998">
              <w:rPr>
                <w:rFonts w:cs="Arial"/>
                <w:sz w:val="18"/>
                <w:szCs w:val="20"/>
              </w:rPr>
              <w:t> billion</w:t>
            </w:r>
            <w:r w:rsidRPr="007D1998">
              <w:rPr>
                <w:rFonts w:cs="Arial"/>
                <w:sz w:val="18"/>
                <w:szCs w:val="20"/>
              </w:rPr>
              <w:t xml:space="preserve"> in 2019-20</w:t>
            </w:r>
            <w:r w:rsidR="007C6279" w:rsidRPr="007D1998">
              <w:rPr>
                <w:rFonts w:cs="Arial"/>
                <w:sz w:val="18"/>
                <w:szCs w:val="20"/>
              </w:rPr>
              <w:t>.</w:t>
            </w:r>
          </w:p>
          <w:p w14:paraId="6C105E2D" w14:textId="0CF7E2CB" w:rsidR="007C6279" w:rsidRPr="007D1998" w:rsidRDefault="007C6279" w:rsidP="00E544E4">
            <w:pPr>
              <w:numPr>
                <w:ilvl w:val="0"/>
                <w:numId w:val="12"/>
              </w:numPr>
              <w:rPr>
                <w:rFonts w:cs="Arial"/>
                <w:sz w:val="18"/>
                <w:szCs w:val="20"/>
              </w:rPr>
            </w:pPr>
            <w:r w:rsidRPr="007D1998">
              <w:rPr>
                <w:rFonts w:cs="Arial"/>
                <w:sz w:val="18"/>
                <w:szCs w:val="20"/>
              </w:rPr>
              <w:t>In 2019</w:t>
            </w:r>
            <w:r w:rsidR="00214D4F" w:rsidRPr="007D1998">
              <w:rPr>
                <w:rFonts w:cs="Arial"/>
                <w:sz w:val="18"/>
                <w:szCs w:val="20"/>
              </w:rPr>
              <w:t>-20</w:t>
            </w:r>
            <w:r w:rsidRPr="007D1998">
              <w:rPr>
                <w:rFonts w:cs="Arial"/>
                <w:sz w:val="18"/>
                <w:szCs w:val="20"/>
              </w:rPr>
              <w:t>, Western Australia’s battery minerals exports to:</w:t>
            </w:r>
          </w:p>
          <w:p w14:paraId="4AF9D138" w14:textId="57E975E0" w:rsidR="007C6279" w:rsidRPr="007D1998" w:rsidRDefault="00214D4F" w:rsidP="00E544E4">
            <w:pPr>
              <w:numPr>
                <w:ilvl w:val="1"/>
                <w:numId w:val="12"/>
              </w:numPr>
              <w:ind w:left="745" w:hanging="288"/>
              <w:rPr>
                <w:rFonts w:cs="Arial"/>
                <w:sz w:val="18"/>
                <w:szCs w:val="20"/>
              </w:rPr>
            </w:pPr>
            <w:r w:rsidRPr="007D1998">
              <w:rPr>
                <w:rFonts w:cs="Arial"/>
                <w:sz w:val="18"/>
                <w:szCs w:val="20"/>
              </w:rPr>
              <w:t>Japan fell 15</w:t>
            </w:r>
            <w:r w:rsidR="007C6279" w:rsidRPr="007D1998">
              <w:rPr>
                <w:rFonts w:cs="Arial"/>
                <w:sz w:val="18"/>
                <w:szCs w:val="20"/>
              </w:rPr>
              <w:t>% to $</w:t>
            </w:r>
            <w:r w:rsidRPr="007D1998">
              <w:rPr>
                <w:rFonts w:cs="Arial"/>
                <w:sz w:val="18"/>
                <w:szCs w:val="20"/>
              </w:rPr>
              <w:t>576</w:t>
            </w:r>
            <w:r w:rsidR="007C6279" w:rsidRPr="007D1998">
              <w:rPr>
                <w:rFonts w:cs="Arial"/>
                <w:sz w:val="18"/>
                <w:szCs w:val="20"/>
              </w:rPr>
              <w:t xml:space="preserve"> million.</w:t>
            </w:r>
          </w:p>
          <w:p w14:paraId="519C2C43" w14:textId="6ED44442" w:rsidR="00214D4F" w:rsidRPr="007D1998" w:rsidRDefault="00214D4F" w:rsidP="00214D4F">
            <w:pPr>
              <w:numPr>
                <w:ilvl w:val="1"/>
                <w:numId w:val="12"/>
              </w:numPr>
              <w:ind w:left="745" w:hanging="288"/>
              <w:rPr>
                <w:rFonts w:cs="Arial"/>
                <w:sz w:val="18"/>
                <w:szCs w:val="20"/>
              </w:rPr>
            </w:pPr>
            <w:r w:rsidRPr="007D1998">
              <w:rPr>
                <w:rFonts w:cs="Arial"/>
                <w:sz w:val="18"/>
                <w:szCs w:val="20"/>
              </w:rPr>
              <w:t>South Korea fell 3% to $441 million.</w:t>
            </w:r>
          </w:p>
          <w:p w14:paraId="6CDC2855" w14:textId="5E361971" w:rsidR="007C6279" w:rsidRPr="007D1998" w:rsidRDefault="007C6279" w:rsidP="00E544E4">
            <w:pPr>
              <w:numPr>
                <w:ilvl w:val="1"/>
                <w:numId w:val="12"/>
              </w:numPr>
              <w:ind w:left="745" w:hanging="288"/>
              <w:rPr>
                <w:rFonts w:cs="Arial"/>
                <w:sz w:val="18"/>
                <w:szCs w:val="20"/>
              </w:rPr>
            </w:pPr>
            <w:r w:rsidRPr="007D1998">
              <w:rPr>
                <w:rFonts w:cs="Arial"/>
                <w:sz w:val="18"/>
                <w:szCs w:val="20"/>
              </w:rPr>
              <w:t xml:space="preserve">Europe </w:t>
            </w:r>
            <w:r w:rsidR="00214D4F" w:rsidRPr="007D1998">
              <w:rPr>
                <w:rFonts w:cs="Arial"/>
                <w:sz w:val="18"/>
                <w:szCs w:val="20"/>
              </w:rPr>
              <w:t xml:space="preserve">fell 22% </w:t>
            </w:r>
            <w:r w:rsidRPr="007D1998">
              <w:rPr>
                <w:rFonts w:cs="Arial"/>
                <w:sz w:val="18"/>
                <w:szCs w:val="20"/>
              </w:rPr>
              <w:t>to $</w:t>
            </w:r>
            <w:r w:rsidR="00214D4F" w:rsidRPr="007D1998">
              <w:rPr>
                <w:rFonts w:cs="Arial"/>
                <w:sz w:val="18"/>
                <w:szCs w:val="20"/>
              </w:rPr>
              <w:t>387</w:t>
            </w:r>
            <w:r w:rsidRPr="007D1998">
              <w:rPr>
                <w:rFonts w:cs="Arial"/>
                <w:sz w:val="18"/>
                <w:szCs w:val="20"/>
              </w:rPr>
              <w:t xml:space="preserve"> million.</w:t>
            </w:r>
          </w:p>
          <w:p w14:paraId="5F711EB0" w14:textId="2FC8AB10" w:rsidR="00214D4F" w:rsidRPr="007D1998" w:rsidRDefault="00214D4F" w:rsidP="00214D4F">
            <w:pPr>
              <w:numPr>
                <w:ilvl w:val="1"/>
                <w:numId w:val="12"/>
              </w:numPr>
              <w:ind w:left="745" w:hanging="288"/>
              <w:rPr>
                <w:rFonts w:cs="Arial"/>
                <w:sz w:val="18"/>
                <w:szCs w:val="20"/>
              </w:rPr>
            </w:pPr>
            <w:r w:rsidRPr="007D1998">
              <w:rPr>
                <w:rFonts w:cs="Arial"/>
                <w:sz w:val="18"/>
                <w:szCs w:val="20"/>
              </w:rPr>
              <w:t>United States rose from $52 million to $281 million.</w:t>
            </w:r>
          </w:p>
          <w:p w14:paraId="1F316FEF" w14:textId="2BCD889E" w:rsidR="007C6279" w:rsidRPr="007D1998" w:rsidRDefault="00214D4F" w:rsidP="00E544E4">
            <w:pPr>
              <w:numPr>
                <w:ilvl w:val="1"/>
                <w:numId w:val="12"/>
              </w:numPr>
              <w:ind w:left="745" w:hanging="288"/>
              <w:rPr>
                <w:rFonts w:cs="Arial"/>
                <w:sz w:val="18"/>
                <w:szCs w:val="20"/>
              </w:rPr>
            </w:pPr>
            <w:r w:rsidRPr="007D1998">
              <w:rPr>
                <w:rFonts w:cs="Arial"/>
                <w:sz w:val="18"/>
                <w:szCs w:val="20"/>
              </w:rPr>
              <w:t>India fell 7</w:t>
            </w:r>
            <w:r w:rsidR="007C6279" w:rsidRPr="007D1998">
              <w:rPr>
                <w:rFonts w:cs="Arial"/>
                <w:sz w:val="18"/>
                <w:szCs w:val="20"/>
              </w:rPr>
              <w:t>% to $1</w:t>
            </w:r>
            <w:r w:rsidRPr="007D1998">
              <w:rPr>
                <w:rFonts w:cs="Arial"/>
                <w:sz w:val="18"/>
                <w:szCs w:val="20"/>
              </w:rPr>
              <w:t>27</w:t>
            </w:r>
            <w:r w:rsidR="007C6279" w:rsidRPr="007D1998">
              <w:rPr>
                <w:rFonts w:cs="Arial"/>
                <w:sz w:val="18"/>
                <w:szCs w:val="20"/>
              </w:rPr>
              <w:t xml:space="preserve"> million.</w:t>
            </w:r>
          </w:p>
          <w:p w14:paraId="7EF3810B" w14:textId="5FFB844D" w:rsidR="007C6279" w:rsidRPr="007D1998" w:rsidRDefault="00F63586" w:rsidP="00214D4F">
            <w:pPr>
              <w:numPr>
                <w:ilvl w:val="0"/>
                <w:numId w:val="12"/>
              </w:numPr>
              <w:rPr>
                <w:rFonts w:cs="Arial"/>
                <w:sz w:val="18"/>
                <w:szCs w:val="20"/>
              </w:rPr>
            </w:pPr>
            <w:r w:rsidRPr="007D1998">
              <w:rPr>
                <w:rFonts w:cs="Arial"/>
                <w:sz w:val="18"/>
                <w:szCs w:val="20"/>
              </w:rPr>
              <w:t>W</w:t>
            </w:r>
            <w:r w:rsidR="007C6279" w:rsidRPr="007D1998">
              <w:rPr>
                <w:rFonts w:cs="Arial"/>
                <w:sz w:val="18"/>
                <w:szCs w:val="20"/>
              </w:rPr>
              <w:t xml:space="preserve">estern Australia’s lithium, cobalt and nickel exports are </w:t>
            </w:r>
            <w:r w:rsidR="00214D4F" w:rsidRPr="007D1998">
              <w:rPr>
                <w:rFonts w:cs="Arial"/>
                <w:sz w:val="18"/>
                <w:szCs w:val="20"/>
              </w:rPr>
              <w:t xml:space="preserve">mostly </w:t>
            </w:r>
            <w:r w:rsidRPr="007D1998">
              <w:rPr>
                <w:rFonts w:cs="Arial"/>
                <w:sz w:val="18"/>
                <w:szCs w:val="20"/>
              </w:rPr>
              <w:t xml:space="preserve">used in </w:t>
            </w:r>
            <w:r w:rsidR="007C6279" w:rsidRPr="007D1998">
              <w:rPr>
                <w:rFonts w:cs="Arial"/>
                <w:sz w:val="18"/>
                <w:szCs w:val="20"/>
              </w:rPr>
              <w:t xml:space="preserve">battery manufacturing. New </w:t>
            </w:r>
            <w:r w:rsidR="00214D4F" w:rsidRPr="007D1998">
              <w:rPr>
                <w:rFonts w:cs="Arial"/>
                <w:sz w:val="18"/>
                <w:szCs w:val="20"/>
              </w:rPr>
              <w:t xml:space="preserve">investment in battery minerals processing </w:t>
            </w:r>
            <w:r w:rsidR="007C6279" w:rsidRPr="007D1998">
              <w:rPr>
                <w:rFonts w:cs="Arial"/>
                <w:sz w:val="18"/>
                <w:szCs w:val="20"/>
              </w:rPr>
              <w:t xml:space="preserve">will </w:t>
            </w:r>
            <w:r w:rsidRPr="007D1998">
              <w:rPr>
                <w:rFonts w:cs="Arial"/>
                <w:sz w:val="18"/>
                <w:szCs w:val="20"/>
              </w:rPr>
              <w:t>result in</w:t>
            </w:r>
            <w:r w:rsidR="007C6279" w:rsidRPr="007D1998">
              <w:rPr>
                <w:rFonts w:cs="Arial"/>
                <w:sz w:val="18"/>
                <w:szCs w:val="20"/>
              </w:rPr>
              <w:t xml:space="preserve"> more battery minerals exported </w:t>
            </w:r>
            <w:r w:rsidRPr="007D1998">
              <w:rPr>
                <w:rFonts w:cs="Arial"/>
                <w:sz w:val="18"/>
                <w:szCs w:val="20"/>
              </w:rPr>
              <w:t xml:space="preserve">specifically </w:t>
            </w:r>
            <w:r w:rsidR="007C6279" w:rsidRPr="007D1998">
              <w:rPr>
                <w:rFonts w:cs="Arial"/>
                <w:sz w:val="18"/>
                <w:szCs w:val="20"/>
              </w:rPr>
              <w:t>for battery manufacturing.</w:t>
            </w:r>
          </w:p>
        </w:tc>
      </w:tr>
      <w:tr w:rsidR="007C6279" w:rsidRPr="00E84F58" w14:paraId="3F7E78AA" w14:textId="77777777" w:rsidTr="00E544E4">
        <w:tc>
          <w:tcPr>
            <w:tcW w:w="6661" w:type="dxa"/>
            <w:shd w:val="clear" w:color="auto" w:fill="auto"/>
          </w:tcPr>
          <w:p w14:paraId="4EBFE9F7" w14:textId="7DBA024B" w:rsidR="007C6279" w:rsidRPr="00E84F58" w:rsidRDefault="00901C04" w:rsidP="00E544E4">
            <w:pPr>
              <w:jc w:val="center"/>
              <w:rPr>
                <w:rFonts w:cs="Arial"/>
                <w:sz w:val="20"/>
                <w:szCs w:val="20"/>
              </w:rPr>
            </w:pPr>
            <w:r>
              <w:rPr>
                <w:rFonts w:cs="Arial"/>
                <w:sz w:val="20"/>
                <w:szCs w:val="20"/>
              </w:rPr>
              <w:pict w14:anchorId="7BDC4885">
                <v:shape id="_x0000_i1029" type="#_x0000_t75" style="width:285.65pt;height:168pt;mso-left-percent:-10001;mso-top-percent:-10001;mso-position-horizontal:absolute;mso-position-horizontal-relative:char;mso-position-vertical:absolute;mso-position-vertical-relative:line;mso-left-percent:-10001;mso-top-percent:-10001">
                  <v:imagedata r:id="rId16" o:title=""/>
                </v:shape>
              </w:pict>
            </w:r>
          </w:p>
        </w:tc>
        <w:tc>
          <w:tcPr>
            <w:tcW w:w="3969" w:type="dxa"/>
            <w:vMerge/>
            <w:shd w:val="clear" w:color="auto" w:fill="auto"/>
          </w:tcPr>
          <w:p w14:paraId="337F8E2F" w14:textId="77777777" w:rsidR="007C6279" w:rsidRPr="00E84F58" w:rsidRDefault="007C6279" w:rsidP="00E544E4">
            <w:pPr>
              <w:rPr>
                <w:rFonts w:cs="Arial"/>
                <w:sz w:val="20"/>
                <w:szCs w:val="20"/>
              </w:rPr>
            </w:pPr>
          </w:p>
        </w:tc>
      </w:tr>
      <w:tr w:rsidR="007C6279" w:rsidRPr="00E84F58" w14:paraId="5574709D" w14:textId="77777777" w:rsidTr="00E544E4">
        <w:tc>
          <w:tcPr>
            <w:tcW w:w="6661" w:type="dxa"/>
            <w:shd w:val="clear" w:color="auto" w:fill="auto"/>
          </w:tcPr>
          <w:p w14:paraId="71E7F88F" w14:textId="697E9EC5" w:rsidR="007C6279" w:rsidRPr="002759FB" w:rsidRDefault="007C6279" w:rsidP="00E544E4">
            <w:pPr>
              <w:rPr>
                <w:rFonts w:cs="Arial"/>
                <w:sz w:val="10"/>
                <w:szCs w:val="20"/>
              </w:rPr>
            </w:pPr>
            <w:r w:rsidRPr="002759FB">
              <w:rPr>
                <w:rFonts w:cs="Arial"/>
                <w:sz w:val="10"/>
                <w:szCs w:val="20"/>
                <w:vertAlign w:val="superscript"/>
              </w:rPr>
              <w:t>1</w:t>
            </w:r>
            <w:r w:rsidRPr="002759FB">
              <w:rPr>
                <w:rFonts w:cs="Arial"/>
                <w:sz w:val="10"/>
                <w:szCs w:val="20"/>
              </w:rPr>
              <w:t xml:space="preserve"> Includes copper, lithium, nickel and graphite. Excludes rare earths, cobalt and vanadium, and manganese from 2015. (a) </w:t>
            </w:r>
            <w:r w:rsidR="008A6D33">
              <w:rPr>
                <w:rFonts w:cs="Arial"/>
                <w:sz w:val="10"/>
                <w:szCs w:val="20"/>
              </w:rPr>
              <w:t>Ex</w:t>
            </w:r>
            <w:r w:rsidRPr="002759FB">
              <w:rPr>
                <w:rFonts w:cs="Arial"/>
                <w:sz w:val="10"/>
                <w:szCs w:val="20"/>
              </w:rPr>
              <w:t xml:space="preserve">cludes </w:t>
            </w:r>
            <w:r w:rsidR="008A6D33">
              <w:rPr>
                <w:rFonts w:cs="Arial"/>
                <w:sz w:val="10"/>
                <w:szCs w:val="20"/>
              </w:rPr>
              <w:t xml:space="preserve">some smaller </w:t>
            </w:r>
            <w:r w:rsidRPr="002759FB">
              <w:rPr>
                <w:rFonts w:cs="Arial"/>
                <w:sz w:val="10"/>
                <w:szCs w:val="20"/>
              </w:rPr>
              <w:t>European markets for Western</w:t>
            </w:r>
            <w:r w:rsidR="008A6D33">
              <w:rPr>
                <w:rFonts w:cs="Arial"/>
                <w:sz w:val="10"/>
                <w:szCs w:val="20"/>
              </w:rPr>
              <w:t xml:space="preserve"> Australia’s nickel exports</w:t>
            </w:r>
            <w:r w:rsidRPr="002759FB">
              <w:rPr>
                <w:rFonts w:cs="Arial"/>
                <w:sz w:val="10"/>
                <w:szCs w:val="20"/>
              </w:rPr>
              <w:t>.</w:t>
            </w:r>
          </w:p>
          <w:p w14:paraId="6B3767E1" w14:textId="77777777" w:rsidR="007C6279" w:rsidRPr="002759FB" w:rsidRDefault="007C6279" w:rsidP="00E544E4">
            <w:pPr>
              <w:rPr>
                <w:rFonts w:cs="Arial"/>
                <w:sz w:val="10"/>
                <w:szCs w:val="20"/>
              </w:rPr>
            </w:pPr>
            <w:r w:rsidRPr="002759FB">
              <w:rPr>
                <w:rFonts w:cs="Arial"/>
                <w:sz w:val="10"/>
                <w:szCs w:val="20"/>
              </w:rPr>
              <w:t>Source: ABS 5368.0 International Trade in Goods and Services</w:t>
            </w:r>
            <w:r>
              <w:rPr>
                <w:rFonts w:cs="Arial"/>
                <w:sz w:val="10"/>
                <w:szCs w:val="20"/>
              </w:rPr>
              <w:t xml:space="preserve">, and </w:t>
            </w:r>
            <w:r w:rsidRPr="004C666A">
              <w:rPr>
                <w:rFonts w:cs="Arial"/>
                <w:sz w:val="10"/>
                <w:szCs w:val="20"/>
              </w:rPr>
              <w:t>W</w:t>
            </w:r>
            <w:r>
              <w:rPr>
                <w:rFonts w:cs="Arial"/>
                <w:sz w:val="10"/>
                <w:szCs w:val="20"/>
              </w:rPr>
              <w:t xml:space="preserve">estern </w:t>
            </w:r>
            <w:r w:rsidRPr="004C666A">
              <w:rPr>
                <w:rFonts w:cs="Arial"/>
                <w:sz w:val="10"/>
                <w:szCs w:val="20"/>
              </w:rPr>
              <w:t>A</w:t>
            </w:r>
            <w:r>
              <w:rPr>
                <w:rFonts w:cs="Arial"/>
                <w:sz w:val="10"/>
                <w:szCs w:val="20"/>
              </w:rPr>
              <w:t>ustralia</w:t>
            </w:r>
            <w:r w:rsidRPr="004C666A">
              <w:rPr>
                <w:rFonts w:cs="Arial"/>
                <w:sz w:val="10"/>
                <w:szCs w:val="20"/>
              </w:rPr>
              <w:t xml:space="preserve"> Department of Mines, Industry Regulation and Safety, Resource Data Files</w:t>
            </w:r>
            <w:r w:rsidRPr="002759FB">
              <w:rPr>
                <w:rFonts w:cs="Arial"/>
                <w:sz w:val="10"/>
                <w:szCs w:val="20"/>
              </w:rPr>
              <w:t>.</w:t>
            </w:r>
          </w:p>
        </w:tc>
        <w:tc>
          <w:tcPr>
            <w:tcW w:w="3969" w:type="dxa"/>
            <w:vMerge/>
            <w:shd w:val="clear" w:color="auto" w:fill="auto"/>
          </w:tcPr>
          <w:p w14:paraId="47990C2A" w14:textId="77777777" w:rsidR="007C6279" w:rsidRPr="00E84F58" w:rsidRDefault="007C6279" w:rsidP="00E544E4">
            <w:pPr>
              <w:rPr>
                <w:rFonts w:cs="Arial"/>
                <w:sz w:val="20"/>
                <w:szCs w:val="20"/>
              </w:rPr>
            </w:pPr>
          </w:p>
        </w:tc>
      </w:tr>
    </w:tbl>
    <w:p w14:paraId="6F110A34" w14:textId="77777777" w:rsidR="007C6279" w:rsidRDefault="007C6279" w:rsidP="007C6279">
      <w:pPr>
        <w:rPr>
          <w:rFonts w:cs="Arial"/>
          <w:sz w:val="20"/>
          <w:szCs w:val="20"/>
        </w:rPr>
      </w:pPr>
    </w:p>
    <w:p w14:paraId="7BC15E8E" w14:textId="77777777" w:rsidR="007C6279" w:rsidRPr="00975420" w:rsidRDefault="007C6279" w:rsidP="007C6279">
      <w:pPr>
        <w:rPr>
          <w:rFonts w:cs="Arial"/>
          <w:sz w:val="4"/>
          <w:szCs w:val="20"/>
        </w:rPr>
      </w:pPr>
      <w:r>
        <w:rPr>
          <w:rFonts w:cs="Arial"/>
          <w:sz w:val="20"/>
          <w:szCs w:val="20"/>
        </w:rPr>
        <w:br w:type="page"/>
      </w:r>
    </w:p>
    <w:tbl>
      <w:tblPr>
        <w:tblW w:w="10632"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7C6279" w:rsidRPr="00E84F58" w14:paraId="19CC8DE1" w14:textId="77777777" w:rsidTr="00E544E4">
        <w:tc>
          <w:tcPr>
            <w:tcW w:w="10632" w:type="dxa"/>
            <w:tcBorders>
              <w:top w:val="nil"/>
              <w:left w:val="nil"/>
              <w:bottom w:val="nil"/>
              <w:right w:val="nil"/>
            </w:tcBorders>
            <w:shd w:val="clear" w:color="auto" w:fill="D9D9D9"/>
          </w:tcPr>
          <w:p w14:paraId="44555C8E" w14:textId="77777777" w:rsidR="007C6279" w:rsidRPr="00E84F58" w:rsidRDefault="007C6279" w:rsidP="00E544E4">
            <w:pPr>
              <w:jc w:val="center"/>
              <w:rPr>
                <w:rFonts w:cs="Arial"/>
                <w:sz w:val="20"/>
                <w:szCs w:val="20"/>
              </w:rPr>
            </w:pPr>
            <w:r w:rsidRPr="00C90210">
              <w:rPr>
                <w:rFonts w:cs="Arial"/>
                <w:b/>
                <w:color w:val="C0504D"/>
                <w:sz w:val="20"/>
                <w:szCs w:val="20"/>
              </w:rPr>
              <w:t>CONTRIBUTION TO WESTERN AUSTRALIA</w:t>
            </w:r>
            <w:r>
              <w:rPr>
                <w:rFonts w:cs="Arial"/>
                <w:b/>
                <w:color w:val="C0504D"/>
                <w:sz w:val="20"/>
                <w:szCs w:val="20"/>
              </w:rPr>
              <w:t>’S</w:t>
            </w:r>
            <w:r w:rsidRPr="00C90210">
              <w:rPr>
                <w:rFonts w:cs="Arial"/>
                <w:b/>
                <w:color w:val="C0504D"/>
                <w:sz w:val="20"/>
                <w:szCs w:val="20"/>
              </w:rPr>
              <w:t xml:space="preserve"> ECONOMY</w:t>
            </w:r>
          </w:p>
        </w:tc>
      </w:tr>
    </w:tbl>
    <w:p w14:paraId="576B9F7E" w14:textId="77777777" w:rsidR="007C6279" w:rsidRPr="00975420"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6E0029C8" w14:textId="77777777" w:rsidTr="00E544E4">
        <w:tc>
          <w:tcPr>
            <w:tcW w:w="6661" w:type="dxa"/>
            <w:shd w:val="clear" w:color="auto" w:fill="C0504D"/>
          </w:tcPr>
          <w:p w14:paraId="56D28BCC" w14:textId="77777777" w:rsidR="007C6279" w:rsidRPr="00E84F58" w:rsidRDefault="007C6279" w:rsidP="00E544E4">
            <w:pPr>
              <w:jc w:val="center"/>
              <w:rPr>
                <w:rFonts w:cs="Arial"/>
                <w:sz w:val="20"/>
                <w:szCs w:val="20"/>
              </w:rPr>
            </w:pPr>
            <w:r>
              <w:rPr>
                <w:rFonts w:cs="Arial"/>
                <w:color w:val="FFFFFF"/>
                <w:sz w:val="20"/>
                <w:szCs w:val="20"/>
              </w:rPr>
              <w:t>Battery minerals</w:t>
            </w:r>
            <w:r w:rsidRPr="00C90210">
              <w:rPr>
                <w:rFonts w:cs="Arial"/>
                <w:color w:val="FFFFFF"/>
                <w:sz w:val="20"/>
                <w:szCs w:val="20"/>
              </w:rPr>
              <w:t xml:space="preserve"> sales</w:t>
            </w:r>
          </w:p>
        </w:tc>
        <w:tc>
          <w:tcPr>
            <w:tcW w:w="3969" w:type="dxa"/>
            <w:vMerge w:val="restart"/>
            <w:shd w:val="clear" w:color="auto" w:fill="auto"/>
            <w:vAlign w:val="center"/>
          </w:tcPr>
          <w:p w14:paraId="664A07F2" w14:textId="0A3234F9" w:rsidR="007C6279" w:rsidRPr="007D1998" w:rsidRDefault="007C6279" w:rsidP="00E544E4">
            <w:pPr>
              <w:numPr>
                <w:ilvl w:val="0"/>
                <w:numId w:val="12"/>
              </w:numPr>
              <w:rPr>
                <w:rFonts w:cs="Arial"/>
                <w:sz w:val="20"/>
                <w:szCs w:val="20"/>
              </w:rPr>
            </w:pPr>
            <w:r w:rsidRPr="007D1998">
              <w:rPr>
                <w:rFonts w:cs="Arial"/>
                <w:sz w:val="18"/>
                <w:szCs w:val="20"/>
              </w:rPr>
              <w:t>Battery minerals accounted for 4% of the value of Western Australia’s minerals and petroleum sales in 2019</w:t>
            </w:r>
            <w:r w:rsidR="00B33DA3" w:rsidRPr="007D1998">
              <w:rPr>
                <w:rFonts w:cs="Arial"/>
                <w:sz w:val="18"/>
                <w:szCs w:val="20"/>
              </w:rPr>
              <w:t>-20</w:t>
            </w:r>
            <w:r w:rsidRPr="007D1998">
              <w:rPr>
                <w:rFonts w:cs="Arial"/>
                <w:sz w:val="18"/>
                <w:szCs w:val="20"/>
              </w:rPr>
              <w:t>.</w:t>
            </w:r>
          </w:p>
          <w:p w14:paraId="411FABE6" w14:textId="6464CB3B" w:rsidR="007C6279" w:rsidRPr="007D1998" w:rsidRDefault="007C6279" w:rsidP="00E544E4">
            <w:pPr>
              <w:numPr>
                <w:ilvl w:val="0"/>
                <w:numId w:val="12"/>
              </w:numPr>
              <w:rPr>
                <w:rFonts w:cs="Arial"/>
                <w:sz w:val="18"/>
                <w:szCs w:val="20"/>
              </w:rPr>
            </w:pPr>
            <w:r w:rsidRPr="007D1998">
              <w:rPr>
                <w:rFonts w:cs="Arial"/>
                <w:sz w:val="18"/>
                <w:szCs w:val="20"/>
              </w:rPr>
              <w:t>The value of Western Australia’s</w:t>
            </w:r>
            <w:r w:rsidR="00B33DA3" w:rsidRPr="007D1998">
              <w:rPr>
                <w:rFonts w:cs="Arial"/>
                <w:sz w:val="18"/>
                <w:szCs w:val="20"/>
              </w:rPr>
              <w:t xml:space="preserve"> battery minerals sales fell 8% to $6.3</w:t>
            </w:r>
            <w:r w:rsidRPr="007D1998">
              <w:rPr>
                <w:rFonts w:cs="Arial"/>
                <w:sz w:val="18"/>
                <w:szCs w:val="20"/>
              </w:rPr>
              <w:t xml:space="preserve"> billion in 2019</w:t>
            </w:r>
            <w:r w:rsidR="00B33DA3" w:rsidRPr="007D1998">
              <w:rPr>
                <w:rFonts w:cs="Arial"/>
                <w:sz w:val="18"/>
                <w:szCs w:val="20"/>
              </w:rPr>
              <w:t>-20</w:t>
            </w:r>
            <w:r w:rsidRPr="007D1998">
              <w:rPr>
                <w:rFonts w:cs="Arial"/>
                <w:sz w:val="18"/>
                <w:szCs w:val="20"/>
              </w:rPr>
              <w:t>.</w:t>
            </w:r>
          </w:p>
          <w:p w14:paraId="7712805A" w14:textId="4EF72132" w:rsidR="007C6279" w:rsidRPr="007D1998" w:rsidRDefault="007C6279" w:rsidP="00E544E4">
            <w:pPr>
              <w:numPr>
                <w:ilvl w:val="0"/>
                <w:numId w:val="12"/>
              </w:numPr>
              <w:rPr>
                <w:rFonts w:cs="Arial"/>
                <w:sz w:val="18"/>
                <w:szCs w:val="20"/>
              </w:rPr>
            </w:pPr>
            <w:r w:rsidRPr="007D1998">
              <w:rPr>
                <w:rFonts w:cs="Arial"/>
                <w:sz w:val="18"/>
                <w:szCs w:val="20"/>
              </w:rPr>
              <w:t>In 2019</w:t>
            </w:r>
            <w:r w:rsidR="00476C32" w:rsidRPr="007D1998">
              <w:rPr>
                <w:rFonts w:cs="Arial"/>
                <w:sz w:val="18"/>
                <w:szCs w:val="20"/>
              </w:rPr>
              <w:t>-20</w:t>
            </w:r>
            <w:r w:rsidRPr="007D1998">
              <w:rPr>
                <w:rFonts w:cs="Arial"/>
                <w:sz w:val="18"/>
                <w:szCs w:val="20"/>
              </w:rPr>
              <w:t>, the value of sales for:</w:t>
            </w:r>
          </w:p>
          <w:p w14:paraId="31F62C37" w14:textId="347D2D83" w:rsidR="00476C32" w:rsidRPr="007D1998" w:rsidRDefault="00476C32" w:rsidP="00476C32">
            <w:pPr>
              <w:numPr>
                <w:ilvl w:val="1"/>
                <w:numId w:val="12"/>
              </w:numPr>
              <w:ind w:left="745" w:hanging="288"/>
              <w:rPr>
                <w:rFonts w:cs="Arial"/>
                <w:sz w:val="18"/>
                <w:szCs w:val="20"/>
              </w:rPr>
            </w:pPr>
            <w:r w:rsidRPr="007D1998">
              <w:rPr>
                <w:rFonts w:cs="Arial"/>
                <w:sz w:val="18"/>
                <w:szCs w:val="20"/>
              </w:rPr>
              <w:t>Nickel rose 16% to $3.1 billion.</w:t>
            </w:r>
          </w:p>
          <w:p w14:paraId="4C0AFA91" w14:textId="78E5171A" w:rsidR="00476C32" w:rsidRPr="007D1998" w:rsidRDefault="00476C32" w:rsidP="00476C32">
            <w:pPr>
              <w:numPr>
                <w:ilvl w:val="1"/>
                <w:numId w:val="12"/>
              </w:numPr>
              <w:ind w:left="745" w:hanging="288"/>
              <w:rPr>
                <w:rFonts w:cs="Arial"/>
                <w:sz w:val="18"/>
                <w:szCs w:val="20"/>
              </w:rPr>
            </w:pPr>
            <w:r w:rsidRPr="007D1998">
              <w:rPr>
                <w:rFonts w:cs="Arial"/>
                <w:sz w:val="18"/>
                <w:szCs w:val="20"/>
              </w:rPr>
              <w:t>Copper rose 0.1% to $1.3 billion.</w:t>
            </w:r>
          </w:p>
          <w:p w14:paraId="1BD2E8D2" w14:textId="3B08509D" w:rsidR="007C6279" w:rsidRPr="007D1998" w:rsidRDefault="00476C32" w:rsidP="00E544E4">
            <w:pPr>
              <w:numPr>
                <w:ilvl w:val="1"/>
                <w:numId w:val="12"/>
              </w:numPr>
              <w:ind w:left="745" w:hanging="288"/>
              <w:rPr>
                <w:rFonts w:cs="Arial"/>
                <w:sz w:val="18"/>
                <w:szCs w:val="20"/>
              </w:rPr>
            </w:pPr>
            <w:r w:rsidRPr="007D1998">
              <w:rPr>
                <w:rFonts w:cs="Arial"/>
                <w:sz w:val="18"/>
                <w:szCs w:val="20"/>
              </w:rPr>
              <w:t>Lithium (spodumene) fell 45% to $917 m</w:t>
            </w:r>
            <w:r w:rsidR="007C6279" w:rsidRPr="007D1998">
              <w:rPr>
                <w:rFonts w:cs="Arial"/>
                <w:sz w:val="18"/>
                <w:szCs w:val="20"/>
              </w:rPr>
              <w:t>illion.</w:t>
            </w:r>
          </w:p>
          <w:p w14:paraId="6AD44FA4" w14:textId="0FEF8FC7" w:rsidR="007C6279" w:rsidRPr="007D1998" w:rsidRDefault="007C6279" w:rsidP="00476C32">
            <w:pPr>
              <w:numPr>
                <w:ilvl w:val="1"/>
                <w:numId w:val="12"/>
              </w:numPr>
              <w:ind w:left="745" w:hanging="288"/>
              <w:rPr>
                <w:rFonts w:cs="Arial"/>
                <w:sz w:val="18"/>
                <w:szCs w:val="20"/>
              </w:rPr>
            </w:pPr>
            <w:r w:rsidRPr="007D1998">
              <w:rPr>
                <w:rFonts w:cs="Arial"/>
                <w:sz w:val="18"/>
                <w:szCs w:val="20"/>
              </w:rPr>
              <w:t>O</w:t>
            </w:r>
            <w:r w:rsidR="00476C32" w:rsidRPr="007D1998">
              <w:rPr>
                <w:rFonts w:cs="Arial"/>
                <w:sz w:val="18"/>
                <w:szCs w:val="20"/>
              </w:rPr>
              <w:t>ther battery minerals fell 22</w:t>
            </w:r>
            <w:r w:rsidRPr="007D1998">
              <w:rPr>
                <w:rFonts w:cs="Arial"/>
                <w:sz w:val="18"/>
                <w:szCs w:val="20"/>
              </w:rPr>
              <w:t>% to $</w:t>
            </w:r>
            <w:r w:rsidR="00476C32" w:rsidRPr="007D1998">
              <w:rPr>
                <w:rFonts w:cs="Arial"/>
                <w:sz w:val="18"/>
                <w:szCs w:val="20"/>
              </w:rPr>
              <w:t>925 m</w:t>
            </w:r>
            <w:r w:rsidRPr="007D1998">
              <w:rPr>
                <w:rFonts w:cs="Arial"/>
                <w:sz w:val="18"/>
                <w:szCs w:val="20"/>
              </w:rPr>
              <w:t>illion.</w:t>
            </w:r>
          </w:p>
        </w:tc>
      </w:tr>
      <w:tr w:rsidR="007C6279" w:rsidRPr="00E84F58" w14:paraId="6DF87EE7" w14:textId="77777777" w:rsidTr="00E544E4">
        <w:tc>
          <w:tcPr>
            <w:tcW w:w="6661" w:type="dxa"/>
            <w:shd w:val="clear" w:color="auto" w:fill="auto"/>
          </w:tcPr>
          <w:p w14:paraId="174FCA61" w14:textId="1BDBDFE5" w:rsidR="007C6279" w:rsidRPr="00E84F58" w:rsidRDefault="00901C04" w:rsidP="00E544E4">
            <w:pPr>
              <w:jc w:val="center"/>
              <w:rPr>
                <w:rFonts w:cs="Arial"/>
                <w:sz w:val="20"/>
                <w:szCs w:val="20"/>
              </w:rPr>
            </w:pPr>
            <w:r>
              <w:rPr>
                <w:rFonts w:cs="Arial"/>
                <w:sz w:val="20"/>
                <w:szCs w:val="20"/>
              </w:rPr>
              <w:pict w14:anchorId="2FD1BC10">
                <v:shape id="_x0000_i1030" type="#_x0000_t75" style="width:287.35pt;height:166pt;mso-left-percent:-10001;mso-top-percent:-10001;mso-position-horizontal:absolute;mso-position-horizontal-relative:char;mso-position-vertical:absolute;mso-position-vertical-relative:line;mso-left-percent:-10001;mso-top-percent:-10001">
                  <v:imagedata r:id="rId17" o:title=""/>
                </v:shape>
              </w:pict>
            </w:r>
          </w:p>
        </w:tc>
        <w:tc>
          <w:tcPr>
            <w:tcW w:w="3969" w:type="dxa"/>
            <w:vMerge/>
            <w:shd w:val="clear" w:color="auto" w:fill="auto"/>
          </w:tcPr>
          <w:p w14:paraId="6B13B44B" w14:textId="77777777" w:rsidR="007C6279" w:rsidRPr="00E84F58" w:rsidRDefault="007C6279" w:rsidP="00E544E4">
            <w:pPr>
              <w:rPr>
                <w:rFonts w:cs="Arial"/>
                <w:sz w:val="20"/>
                <w:szCs w:val="20"/>
              </w:rPr>
            </w:pPr>
          </w:p>
        </w:tc>
      </w:tr>
      <w:tr w:rsidR="007C6279" w:rsidRPr="00E84F58" w14:paraId="266377A5" w14:textId="77777777" w:rsidTr="00E544E4">
        <w:tc>
          <w:tcPr>
            <w:tcW w:w="6661" w:type="dxa"/>
            <w:shd w:val="clear" w:color="auto" w:fill="auto"/>
          </w:tcPr>
          <w:p w14:paraId="71296637" w14:textId="56678442" w:rsidR="007C6279" w:rsidRPr="00840744" w:rsidRDefault="007C6279" w:rsidP="00E544E4">
            <w:pPr>
              <w:rPr>
                <w:rFonts w:cs="Arial"/>
                <w:sz w:val="10"/>
                <w:szCs w:val="20"/>
              </w:rPr>
            </w:pPr>
            <w:r w:rsidRPr="00840744">
              <w:rPr>
                <w:rFonts w:cs="Arial"/>
                <w:sz w:val="10"/>
                <w:szCs w:val="20"/>
              </w:rPr>
              <w:t>(a</w:t>
            </w:r>
            <w:r>
              <w:rPr>
                <w:rFonts w:cs="Arial"/>
                <w:sz w:val="10"/>
                <w:szCs w:val="20"/>
              </w:rPr>
              <w:t>) Includes cobalt, manganese, vanadium and rare earths (and o</w:t>
            </w:r>
            <w:r w:rsidR="003B3BF7">
              <w:rPr>
                <w:rFonts w:cs="Arial"/>
                <w:sz w:val="10"/>
                <w:szCs w:val="20"/>
              </w:rPr>
              <w:t>ther minerals).</w:t>
            </w:r>
          </w:p>
          <w:p w14:paraId="5C434763" w14:textId="77777777" w:rsidR="007C6279" w:rsidRPr="004C666A" w:rsidRDefault="007C6279" w:rsidP="00E544E4">
            <w:pPr>
              <w:rPr>
                <w:rFonts w:cs="Arial"/>
                <w:sz w:val="10"/>
                <w:szCs w:val="20"/>
              </w:rPr>
            </w:pPr>
            <w:r w:rsidRPr="004C666A">
              <w:rPr>
                <w:rFonts w:cs="Arial"/>
                <w:sz w:val="10"/>
                <w:szCs w:val="20"/>
              </w:rPr>
              <w:t>Source: W</w:t>
            </w:r>
            <w:r>
              <w:rPr>
                <w:rFonts w:cs="Arial"/>
                <w:sz w:val="10"/>
                <w:szCs w:val="20"/>
              </w:rPr>
              <w:t xml:space="preserve">estern </w:t>
            </w:r>
            <w:r w:rsidRPr="004C666A">
              <w:rPr>
                <w:rFonts w:cs="Arial"/>
                <w:sz w:val="10"/>
                <w:szCs w:val="20"/>
              </w:rPr>
              <w:t>A</w:t>
            </w:r>
            <w:r>
              <w:rPr>
                <w:rFonts w:cs="Arial"/>
                <w:sz w:val="10"/>
                <w:szCs w:val="20"/>
              </w:rPr>
              <w:t>ustralia</w:t>
            </w:r>
            <w:r w:rsidRPr="004C666A">
              <w:rPr>
                <w:rFonts w:cs="Arial"/>
                <w:sz w:val="10"/>
                <w:szCs w:val="20"/>
              </w:rPr>
              <w:t xml:space="preserve"> Department of Mines, Industry Regulation and Safety, Resource Data Files.</w:t>
            </w:r>
          </w:p>
        </w:tc>
        <w:tc>
          <w:tcPr>
            <w:tcW w:w="3969" w:type="dxa"/>
            <w:vMerge/>
            <w:shd w:val="clear" w:color="auto" w:fill="auto"/>
          </w:tcPr>
          <w:p w14:paraId="1C16811A" w14:textId="77777777" w:rsidR="007C6279" w:rsidRPr="00E84F58" w:rsidRDefault="007C6279" w:rsidP="00E544E4">
            <w:pPr>
              <w:rPr>
                <w:rFonts w:cs="Arial"/>
                <w:sz w:val="20"/>
                <w:szCs w:val="20"/>
              </w:rPr>
            </w:pPr>
          </w:p>
        </w:tc>
      </w:tr>
    </w:tbl>
    <w:p w14:paraId="50F1CD6E" w14:textId="77777777" w:rsidR="007C6279" w:rsidRPr="00975420"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421AABC6" w14:textId="77777777" w:rsidTr="00E544E4">
        <w:tc>
          <w:tcPr>
            <w:tcW w:w="6661" w:type="dxa"/>
            <w:shd w:val="clear" w:color="auto" w:fill="C0504D"/>
          </w:tcPr>
          <w:p w14:paraId="6762E2A7" w14:textId="77777777" w:rsidR="007C6279" w:rsidRPr="00E84F58" w:rsidRDefault="007C6279" w:rsidP="00E544E4">
            <w:pPr>
              <w:jc w:val="center"/>
              <w:rPr>
                <w:rFonts w:cs="Arial"/>
                <w:sz w:val="20"/>
                <w:szCs w:val="20"/>
              </w:rPr>
            </w:pPr>
            <w:r>
              <w:rPr>
                <w:rFonts w:cs="Arial"/>
                <w:color w:val="FFFFFF"/>
                <w:sz w:val="20"/>
                <w:szCs w:val="20"/>
              </w:rPr>
              <w:t>Battery minerals</w:t>
            </w:r>
            <w:r w:rsidRPr="00C90210">
              <w:rPr>
                <w:rFonts w:cs="Arial"/>
                <w:color w:val="FFFFFF"/>
                <w:sz w:val="20"/>
                <w:szCs w:val="20"/>
              </w:rPr>
              <w:t xml:space="preserve"> </w:t>
            </w:r>
            <w:r>
              <w:rPr>
                <w:rFonts w:cs="Arial"/>
                <w:color w:val="FFFFFF"/>
                <w:sz w:val="20"/>
                <w:szCs w:val="20"/>
              </w:rPr>
              <w:t>royalties</w:t>
            </w:r>
          </w:p>
        </w:tc>
        <w:tc>
          <w:tcPr>
            <w:tcW w:w="3969" w:type="dxa"/>
            <w:vMerge w:val="restart"/>
            <w:shd w:val="clear" w:color="auto" w:fill="auto"/>
            <w:vAlign w:val="center"/>
          </w:tcPr>
          <w:p w14:paraId="579E1DDF" w14:textId="3E1CEE6C" w:rsidR="007C6279" w:rsidRPr="007D1998" w:rsidRDefault="007C6279" w:rsidP="00E544E4">
            <w:pPr>
              <w:numPr>
                <w:ilvl w:val="0"/>
                <w:numId w:val="12"/>
              </w:numPr>
              <w:rPr>
                <w:rFonts w:cs="Arial"/>
                <w:sz w:val="20"/>
                <w:szCs w:val="20"/>
              </w:rPr>
            </w:pPr>
            <w:r w:rsidRPr="007D1998">
              <w:rPr>
                <w:rFonts w:cs="Arial"/>
                <w:sz w:val="18"/>
                <w:szCs w:val="20"/>
              </w:rPr>
              <w:t>Battery minerals accounted for 3% of Western Australia’s royalty revenue</w:t>
            </w:r>
            <w:r w:rsidRPr="007D1998">
              <w:rPr>
                <w:rFonts w:cs="Arial"/>
                <w:sz w:val="18"/>
                <w:szCs w:val="20"/>
                <w:vertAlign w:val="superscript"/>
              </w:rPr>
              <w:t>1</w:t>
            </w:r>
            <w:r w:rsidRPr="007D1998">
              <w:rPr>
                <w:rFonts w:cs="Arial"/>
                <w:sz w:val="18"/>
                <w:szCs w:val="20"/>
              </w:rPr>
              <w:t xml:space="preserve"> in 2019</w:t>
            </w:r>
            <w:r w:rsidR="004E41FD" w:rsidRPr="007D1998">
              <w:rPr>
                <w:rFonts w:cs="Arial"/>
                <w:sz w:val="18"/>
                <w:szCs w:val="20"/>
              </w:rPr>
              <w:t>-20</w:t>
            </w:r>
            <w:r w:rsidRPr="007D1998">
              <w:rPr>
                <w:rFonts w:cs="Arial"/>
                <w:sz w:val="18"/>
                <w:szCs w:val="20"/>
              </w:rPr>
              <w:t>.</w:t>
            </w:r>
          </w:p>
          <w:p w14:paraId="67ECE1DB" w14:textId="1F536F0F" w:rsidR="007C6279" w:rsidRPr="007D1998" w:rsidRDefault="007C6279" w:rsidP="00E544E4">
            <w:pPr>
              <w:numPr>
                <w:ilvl w:val="0"/>
                <w:numId w:val="12"/>
              </w:numPr>
              <w:rPr>
                <w:rFonts w:cs="Arial"/>
                <w:sz w:val="20"/>
                <w:szCs w:val="20"/>
              </w:rPr>
            </w:pPr>
            <w:r w:rsidRPr="007D1998">
              <w:rPr>
                <w:rFonts w:cs="Arial"/>
                <w:sz w:val="18"/>
                <w:szCs w:val="20"/>
              </w:rPr>
              <w:t xml:space="preserve">Battery minerals royalty revenue fell </w:t>
            </w:r>
            <w:r w:rsidR="004E41FD" w:rsidRPr="007D1998">
              <w:rPr>
                <w:rFonts w:cs="Arial"/>
                <w:sz w:val="18"/>
                <w:szCs w:val="20"/>
              </w:rPr>
              <w:t>10</w:t>
            </w:r>
            <w:r w:rsidRPr="007D1998">
              <w:rPr>
                <w:rFonts w:cs="Arial"/>
                <w:sz w:val="18"/>
                <w:szCs w:val="20"/>
              </w:rPr>
              <w:t>% to $2</w:t>
            </w:r>
            <w:r w:rsidR="004E41FD" w:rsidRPr="007D1998">
              <w:rPr>
                <w:rFonts w:cs="Arial"/>
                <w:sz w:val="18"/>
                <w:szCs w:val="20"/>
              </w:rPr>
              <w:t>42</w:t>
            </w:r>
            <w:r w:rsidRPr="007D1998">
              <w:rPr>
                <w:rFonts w:cs="Arial"/>
                <w:sz w:val="18"/>
                <w:szCs w:val="20"/>
              </w:rPr>
              <w:t xml:space="preserve"> million in 2019</w:t>
            </w:r>
            <w:r w:rsidR="004E41FD" w:rsidRPr="007D1998">
              <w:rPr>
                <w:rFonts w:cs="Arial"/>
                <w:sz w:val="18"/>
                <w:szCs w:val="20"/>
              </w:rPr>
              <w:t>-20</w:t>
            </w:r>
            <w:r w:rsidRPr="007D1998">
              <w:rPr>
                <w:rFonts w:cs="Arial"/>
                <w:b/>
                <w:sz w:val="18"/>
                <w:szCs w:val="20"/>
              </w:rPr>
              <w:t>.</w:t>
            </w:r>
          </w:p>
          <w:p w14:paraId="05A17357" w14:textId="2AD3A64B" w:rsidR="007C6279" w:rsidRPr="007D1998" w:rsidRDefault="007C6279" w:rsidP="00E544E4">
            <w:pPr>
              <w:numPr>
                <w:ilvl w:val="0"/>
                <w:numId w:val="12"/>
              </w:numPr>
              <w:rPr>
                <w:rFonts w:cs="Arial"/>
                <w:sz w:val="20"/>
                <w:szCs w:val="20"/>
              </w:rPr>
            </w:pPr>
            <w:r w:rsidRPr="007D1998">
              <w:rPr>
                <w:rFonts w:cs="Arial"/>
                <w:sz w:val="18"/>
                <w:szCs w:val="20"/>
              </w:rPr>
              <w:t>In 2019</w:t>
            </w:r>
            <w:r w:rsidR="008514A3" w:rsidRPr="007D1998">
              <w:rPr>
                <w:rFonts w:cs="Arial"/>
                <w:sz w:val="18"/>
                <w:szCs w:val="20"/>
              </w:rPr>
              <w:t>-20</w:t>
            </w:r>
            <w:r w:rsidRPr="007D1998">
              <w:rPr>
                <w:rFonts w:cs="Arial"/>
                <w:sz w:val="18"/>
                <w:szCs w:val="20"/>
              </w:rPr>
              <w:t>, royalty revenue from:</w:t>
            </w:r>
          </w:p>
          <w:p w14:paraId="6A293E8F" w14:textId="63FCA0B7" w:rsidR="008514A3" w:rsidRPr="007D1998" w:rsidRDefault="008514A3" w:rsidP="008514A3">
            <w:pPr>
              <w:numPr>
                <w:ilvl w:val="1"/>
                <w:numId w:val="12"/>
              </w:numPr>
              <w:ind w:left="745" w:hanging="288"/>
              <w:rPr>
                <w:rFonts w:cs="Arial"/>
                <w:sz w:val="18"/>
                <w:szCs w:val="20"/>
              </w:rPr>
            </w:pPr>
            <w:r w:rsidRPr="007D1998">
              <w:rPr>
                <w:rFonts w:cs="Arial"/>
                <w:sz w:val="18"/>
                <w:szCs w:val="20"/>
              </w:rPr>
              <w:t>Nickel rose 15% to $76 million.</w:t>
            </w:r>
          </w:p>
          <w:p w14:paraId="05DE7733" w14:textId="2A2F5AF9" w:rsidR="008514A3" w:rsidRPr="007D1998" w:rsidRDefault="008514A3" w:rsidP="008514A3">
            <w:pPr>
              <w:numPr>
                <w:ilvl w:val="1"/>
                <w:numId w:val="12"/>
              </w:numPr>
              <w:ind w:left="745" w:hanging="288"/>
              <w:rPr>
                <w:rFonts w:cs="Arial"/>
                <w:sz w:val="18"/>
                <w:szCs w:val="20"/>
              </w:rPr>
            </w:pPr>
            <w:r w:rsidRPr="007D1998">
              <w:rPr>
                <w:rFonts w:cs="Arial"/>
                <w:sz w:val="18"/>
                <w:szCs w:val="20"/>
              </w:rPr>
              <w:t>Copper fell 11% to $68 million.</w:t>
            </w:r>
          </w:p>
          <w:p w14:paraId="1DD28FD9" w14:textId="76441203" w:rsidR="007C6279" w:rsidRPr="007D1998" w:rsidRDefault="008514A3" w:rsidP="00E544E4">
            <w:pPr>
              <w:numPr>
                <w:ilvl w:val="1"/>
                <w:numId w:val="12"/>
              </w:numPr>
              <w:ind w:left="745" w:hanging="288"/>
              <w:rPr>
                <w:rFonts w:cs="Arial"/>
                <w:sz w:val="18"/>
                <w:szCs w:val="20"/>
              </w:rPr>
            </w:pPr>
            <w:r w:rsidRPr="007D1998">
              <w:rPr>
                <w:rFonts w:cs="Arial"/>
                <w:sz w:val="18"/>
                <w:szCs w:val="20"/>
              </w:rPr>
              <w:t>Lithium fell 20% to $66</w:t>
            </w:r>
            <w:r w:rsidR="007C6279" w:rsidRPr="007D1998">
              <w:rPr>
                <w:rFonts w:cs="Arial"/>
                <w:sz w:val="18"/>
                <w:szCs w:val="20"/>
              </w:rPr>
              <w:t xml:space="preserve"> million.</w:t>
            </w:r>
          </w:p>
          <w:p w14:paraId="419667D8" w14:textId="0C3B5258" w:rsidR="007C6279" w:rsidRPr="007D1998" w:rsidRDefault="007C6279" w:rsidP="004E41FD">
            <w:pPr>
              <w:numPr>
                <w:ilvl w:val="1"/>
                <w:numId w:val="12"/>
              </w:numPr>
              <w:ind w:left="745" w:hanging="288"/>
              <w:rPr>
                <w:rFonts w:cs="Arial"/>
                <w:sz w:val="20"/>
                <w:szCs w:val="20"/>
              </w:rPr>
            </w:pPr>
            <w:r w:rsidRPr="007D1998">
              <w:rPr>
                <w:rFonts w:cs="Arial"/>
                <w:sz w:val="18"/>
                <w:szCs w:val="20"/>
              </w:rPr>
              <w:t xml:space="preserve">Other battery minerals fell </w:t>
            </w:r>
            <w:r w:rsidR="004E41FD" w:rsidRPr="007D1998">
              <w:rPr>
                <w:rFonts w:cs="Arial"/>
                <w:sz w:val="18"/>
                <w:szCs w:val="20"/>
              </w:rPr>
              <w:t>2</w:t>
            </w:r>
            <w:r w:rsidRPr="007D1998">
              <w:rPr>
                <w:rFonts w:cs="Arial"/>
                <w:sz w:val="18"/>
                <w:szCs w:val="20"/>
              </w:rPr>
              <w:t>5% to $3</w:t>
            </w:r>
            <w:r w:rsidR="004E41FD" w:rsidRPr="007D1998">
              <w:rPr>
                <w:rFonts w:cs="Arial"/>
                <w:sz w:val="18"/>
                <w:szCs w:val="20"/>
              </w:rPr>
              <w:t>2</w:t>
            </w:r>
            <w:r w:rsidRPr="007D1998">
              <w:rPr>
                <w:rFonts w:cs="Arial"/>
                <w:sz w:val="18"/>
                <w:szCs w:val="20"/>
              </w:rPr>
              <w:t> million.</w:t>
            </w:r>
          </w:p>
        </w:tc>
      </w:tr>
      <w:tr w:rsidR="007C6279" w:rsidRPr="00E84F58" w14:paraId="33148B0F" w14:textId="77777777" w:rsidTr="00E544E4">
        <w:tc>
          <w:tcPr>
            <w:tcW w:w="6661" w:type="dxa"/>
            <w:shd w:val="clear" w:color="auto" w:fill="auto"/>
          </w:tcPr>
          <w:p w14:paraId="143CB0C3" w14:textId="3A530D00" w:rsidR="007C6279" w:rsidRPr="00E84F58" w:rsidRDefault="00901C04" w:rsidP="00E544E4">
            <w:pPr>
              <w:jc w:val="center"/>
              <w:rPr>
                <w:rFonts w:cs="Arial"/>
                <w:sz w:val="20"/>
                <w:szCs w:val="20"/>
              </w:rPr>
            </w:pPr>
            <w:r>
              <w:rPr>
                <w:rFonts w:cs="Arial"/>
                <w:sz w:val="20"/>
                <w:szCs w:val="20"/>
              </w:rPr>
              <w:pict w14:anchorId="62EBAC46">
                <v:shape id="_x0000_i1031" type="#_x0000_t75" style="width:285.65pt;height:169.35pt;mso-left-percent:-10001;mso-top-percent:-10001;mso-position-horizontal:absolute;mso-position-horizontal-relative:char;mso-position-vertical:absolute;mso-position-vertical-relative:line;mso-left-percent:-10001;mso-top-percent:-10001">
                  <v:imagedata r:id="rId18" o:title=""/>
                </v:shape>
              </w:pict>
            </w:r>
          </w:p>
        </w:tc>
        <w:tc>
          <w:tcPr>
            <w:tcW w:w="3969" w:type="dxa"/>
            <w:vMerge/>
            <w:shd w:val="clear" w:color="auto" w:fill="auto"/>
          </w:tcPr>
          <w:p w14:paraId="7755D68B" w14:textId="77777777" w:rsidR="007C6279" w:rsidRPr="00E84F58" w:rsidRDefault="007C6279" w:rsidP="00E544E4">
            <w:pPr>
              <w:rPr>
                <w:rFonts w:cs="Arial"/>
                <w:sz w:val="20"/>
                <w:szCs w:val="20"/>
              </w:rPr>
            </w:pPr>
          </w:p>
        </w:tc>
      </w:tr>
      <w:tr w:rsidR="007C6279" w:rsidRPr="00E84F58" w14:paraId="723C9866" w14:textId="77777777" w:rsidTr="00E544E4">
        <w:tc>
          <w:tcPr>
            <w:tcW w:w="6661" w:type="dxa"/>
            <w:shd w:val="clear" w:color="auto" w:fill="auto"/>
          </w:tcPr>
          <w:p w14:paraId="36277BF7" w14:textId="77777777" w:rsidR="007C6279" w:rsidRPr="002759FB" w:rsidRDefault="007C6279" w:rsidP="00E544E4">
            <w:pPr>
              <w:rPr>
                <w:rFonts w:cs="Arial"/>
                <w:sz w:val="10"/>
                <w:szCs w:val="20"/>
              </w:rPr>
            </w:pPr>
            <w:r w:rsidRPr="002759FB">
              <w:rPr>
                <w:rFonts w:cs="Arial"/>
                <w:sz w:val="10"/>
                <w:szCs w:val="20"/>
                <w:vertAlign w:val="superscript"/>
              </w:rPr>
              <w:t>1</w:t>
            </w:r>
            <w:r w:rsidRPr="002759FB">
              <w:rPr>
                <w:rFonts w:cs="Arial"/>
                <w:sz w:val="10"/>
                <w:szCs w:val="20"/>
              </w:rPr>
              <w:t xml:space="preserve"> Includes North West Shelf Grants. (a) Includes lead and zinc. (b) Includes rare earths, manganese, cobalt, vanadium and graphite.</w:t>
            </w:r>
          </w:p>
          <w:p w14:paraId="23CB9171" w14:textId="77777777" w:rsidR="007C6279" w:rsidRPr="002759FB" w:rsidRDefault="007C6279" w:rsidP="00E544E4">
            <w:pPr>
              <w:rPr>
                <w:rFonts w:cs="Arial"/>
                <w:sz w:val="10"/>
                <w:szCs w:val="20"/>
              </w:rPr>
            </w:pPr>
            <w:r w:rsidRPr="002759FB">
              <w:rPr>
                <w:rFonts w:cs="Arial"/>
                <w:sz w:val="10"/>
                <w:szCs w:val="20"/>
              </w:rPr>
              <w:t>Source: Western Australian Department of Mines, Industry Regulation and Safety, Resource Data Files.</w:t>
            </w:r>
          </w:p>
        </w:tc>
        <w:tc>
          <w:tcPr>
            <w:tcW w:w="3969" w:type="dxa"/>
            <w:vMerge/>
            <w:shd w:val="clear" w:color="auto" w:fill="auto"/>
          </w:tcPr>
          <w:p w14:paraId="5397664E" w14:textId="77777777" w:rsidR="007C6279" w:rsidRPr="00E84F58" w:rsidRDefault="007C6279" w:rsidP="00E544E4">
            <w:pPr>
              <w:rPr>
                <w:rFonts w:cs="Arial"/>
                <w:sz w:val="20"/>
                <w:szCs w:val="20"/>
              </w:rPr>
            </w:pPr>
          </w:p>
        </w:tc>
      </w:tr>
    </w:tbl>
    <w:p w14:paraId="19AF67A2" w14:textId="77777777" w:rsidR="007C6279" w:rsidRPr="00975420" w:rsidRDefault="007C6279" w:rsidP="007C6279">
      <w:pPr>
        <w:rPr>
          <w:rFonts w:cs="Arial"/>
          <w:sz w:val="4"/>
          <w:szCs w:val="20"/>
        </w:rPr>
      </w:pPr>
    </w:p>
    <w:tbl>
      <w:tblPr>
        <w:tblW w:w="10630" w:type="dxa"/>
        <w:tblInd w:w="-1593" w:type="dxa"/>
        <w:tblLook w:val="04A0" w:firstRow="1" w:lastRow="0" w:firstColumn="1" w:lastColumn="0" w:noHBand="0" w:noVBand="1"/>
      </w:tblPr>
      <w:tblGrid>
        <w:gridCol w:w="6661"/>
        <w:gridCol w:w="3969"/>
      </w:tblGrid>
      <w:tr w:rsidR="007C6279" w:rsidRPr="00E84F58" w14:paraId="2E24E9A4" w14:textId="77777777" w:rsidTr="00E544E4">
        <w:tc>
          <w:tcPr>
            <w:tcW w:w="6661" w:type="dxa"/>
            <w:shd w:val="clear" w:color="auto" w:fill="C0504D"/>
          </w:tcPr>
          <w:p w14:paraId="79277EF3" w14:textId="77777777" w:rsidR="007C6279" w:rsidRPr="00C90210" w:rsidRDefault="007C6279" w:rsidP="00E544E4">
            <w:pPr>
              <w:jc w:val="center"/>
              <w:rPr>
                <w:rFonts w:cs="Arial"/>
                <w:color w:val="FFFFFF"/>
                <w:sz w:val="20"/>
                <w:szCs w:val="20"/>
              </w:rPr>
            </w:pPr>
            <w:r>
              <w:rPr>
                <w:rFonts w:cs="Arial"/>
                <w:color w:val="FFFFFF"/>
                <w:sz w:val="20"/>
                <w:szCs w:val="20"/>
              </w:rPr>
              <w:t>Direct battery minerals</w:t>
            </w:r>
            <w:r w:rsidRPr="00C90210">
              <w:rPr>
                <w:rFonts w:cs="Arial"/>
                <w:color w:val="FFFFFF"/>
                <w:sz w:val="20"/>
                <w:szCs w:val="20"/>
              </w:rPr>
              <w:t xml:space="preserve"> industry employment</w:t>
            </w:r>
            <w:r w:rsidRPr="000279BE">
              <w:rPr>
                <w:rFonts w:cs="Arial"/>
                <w:color w:val="FFFFFF"/>
                <w:sz w:val="20"/>
                <w:szCs w:val="20"/>
                <w:vertAlign w:val="superscript"/>
              </w:rPr>
              <w:t>1</w:t>
            </w:r>
          </w:p>
        </w:tc>
        <w:tc>
          <w:tcPr>
            <w:tcW w:w="3969" w:type="dxa"/>
            <w:vMerge w:val="restart"/>
            <w:shd w:val="clear" w:color="auto" w:fill="auto"/>
            <w:vAlign w:val="center"/>
          </w:tcPr>
          <w:p w14:paraId="7B3E2CF4" w14:textId="7D566393" w:rsidR="007C6279" w:rsidRPr="007D1998" w:rsidRDefault="007C6279" w:rsidP="00E544E4">
            <w:pPr>
              <w:numPr>
                <w:ilvl w:val="0"/>
                <w:numId w:val="12"/>
              </w:numPr>
              <w:rPr>
                <w:rFonts w:cs="Arial"/>
                <w:sz w:val="18"/>
                <w:szCs w:val="18"/>
              </w:rPr>
            </w:pPr>
            <w:r w:rsidRPr="007D1998">
              <w:rPr>
                <w:rFonts w:cs="Arial"/>
                <w:sz w:val="18"/>
                <w:szCs w:val="18"/>
              </w:rPr>
              <w:t>B</w:t>
            </w:r>
            <w:r w:rsidR="009F1118" w:rsidRPr="007D1998">
              <w:rPr>
                <w:rFonts w:cs="Arial"/>
                <w:sz w:val="18"/>
                <w:szCs w:val="18"/>
              </w:rPr>
              <w:t>attery minerals accounted for 13</w:t>
            </w:r>
            <w:r w:rsidRPr="007D1998">
              <w:rPr>
                <w:rFonts w:cs="Arial"/>
                <w:sz w:val="18"/>
                <w:szCs w:val="18"/>
              </w:rPr>
              <w:t>% of direct employment in Western Australia’s minerals mining industry in 2019</w:t>
            </w:r>
            <w:r w:rsidR="009F1118" w:rsidRPr="007D1998">
              <w:rPr>
                <w:rFonts w:cs="Arial"/>
                <w:sz w:val="18"/>
                <w:szCs w:val="18"/>
              </w:rPr>
              <w:t>-20</w:t>
            </w:r>
            <w:r w:rsidRPr="007D1998">
              <w:rPr>
                <w:rFonts w:cs="Arial"/>
                <w:sz w:val="18"/>
                <w:szCs w:val="18"/>
              </w:rPr>
              <w:t xml:space="preserve"> (excluding exploration).</w:t>
            </w:r>
          </w:p>
          <w:p w14:paraId="1B4F9670" w14:textId="159F47CF" w:rsidR="007C6279" w:rsidRPr="007D1998" w:rsidRDefault="007C6279" w:rsidP="00E544E4">
            <w:pPr>
              <w:numPr>
                <w:ilvl w:val="0"/>
                <w:numId w:val="12"/>
              </w:numPr>
              <w:rPr>
                <w:rFonts w:cs="Arial"/>
                <w:sz w:val="18"/>
                <w:szCs w:val="18"/>
              </w:rPr>
            </w:pPr>
            <w:r w:rsidRPr="007D1998">
              <w:rPr>
                <w:rFonts w:cs="Arial"/>
                <w:sz w:val="18"/>
                <w:szCs w:val="18"/>
              </w:rPr>
              <w:t xml:space="preserve">Direct employment in Western Australia’s battery minerals industry </w:t>
            </w:r>
            <w:r w:rsidR="009F1118" w:rsidRPr="007D1998">
              <w:rPr>
                <w:rFonts w:cs="Arial"/>
                <w:sz w:val="18"/>
                <w:szCs w:val="18"/>
              </w:rPr>
              <w:t>fell 8</w:t>
            </w:r>
            <w:r w:rsidRPr="007D1998">
              <w:rPr>
                <w:rFonts w:cs="Arial"/>
                <w:sz w:val="18"/>
                <w:szCs w:val="18"/>
              </w:rPr>
              <w:t>% to 1</w:t>
            </w:r>
            <w:r w:rsidR="009F1118" w:rsidRPr="007D1998">
              <w:rPr>
                <w:rFonts w:cs="Arial"/>
                <w:sz w:val="18"/>
                <w:szCs w:val="18"/>
              </w:rPr>
              <w:t>2</w:t>
            </w:r>
            <w:r w:rsidRPr="007D1998">
              <w:rPr>
                <w:rFonts w:cs="Arial"/>
                <w:sz w:val="18"/>
                <w:szCs w:val="18"/>
              </w:rPr>
              <w:t>,</w:t>
            </w:r>
            <w:r w:rsidR="009F1118" w:rsidRPr="007D1998">
              <w:rPr>
                <w:rFonts w:cs="Arial"/>
                <w:sz w:val="18"/>
                <w:szCs w:val="18"/>
              </w:rPr>
              <w:t>953</w:t>
            </w:r>
            <w:r w:rsidRPr="007D1998">
              <w:rPr>
                <w:rFonts w:cs="Arial"/>
                <w:sz w:val="18"/>
                <w:szCs w:val="18"/>
              </w:rPr>
              <w:t xml:space="preserve"> in 2019</w:t>
            </w:r>
            <w:r w:rsidR="009F1118" w:rsidRPr="007D1998">
              <w:rPr>
                <w:rFonts w:cs="Arial"/>
                <w:sz w:val="18"/>
                <w:szCs w:val="18"/>
              </w:rPr>
              <w:t>-20</w:t>
            </w:r>
            <w:r w:rsidRPr="007D1998">
              <w:rPr>
                <w:rFonts w:cs="Arial"/>
                <w:sz w:val="18"/>
                <w:szCs w:val="18"/>
              </w:rPr>
              <w:t>.</w:t>
            </w:r>
          </w:p>
          <w:p w14:paraId="574AFBA9" w14:textId="491E00AC" w:rsidR="007C6279" w:rsidRPr="007D1998" w:rsidRDefault="007C6279" w:rsidP="00E544E4">
            <w:pPr>
              <w:numPr>
                <w:ilvl w:val="0"/>
                <w:numId w:val="12"/>
              </w:numPr>
              <w:rPr>
                <w:rFonts w:cs="Arial"/>
                <w:sz w:val="18"/>
                <w:szCs w:val="18"/>
              </w:rPr>
            </w:pPr>
            <w:r w:rsidRPr="007D1998">
              <w:rPr>
                <w:rFonts w:cs="Arial"/>
                <w:sz w:val="18"/>
                <w:szCs w:val="18"/>
              </w:rPr>
              <w:t>In 2019</w:t>
            </w:r>
            <w:r w:rsidR="00AF20DB" w:rsidRPr="007D1998">
              <w:rPr>
                <w:rFonts w:cs="Arial"/>
                <w:sz w:val="18"/>
                <w:szCs w:val="18"/>
              </w:rPr>
              <w:t>-20</w:t>
            </w:r>
            <w:r w:rsidRPr="007D1998">
              <w:rPr>
                <w:rFonts w:cs="Arial"/>
                <w:sz w:val="18"/>
                <w:szCs w:val="18"/>
              </w:rPr>
              <w:t>, direct employment in the industry of:</w:t>
            </w:r>
          </w:p>
          <w:p w14:paraId="72A56C57" w14:textId="01B31478" w:rsidR="007C6279" w:rsidRPr="007D1998" w:rsidRDefault="00D922DC" w:rsidP="00E544E4">
            <w:pPr>
              <w:numPr>
                <w:ilvl w:val="1"/>
                <w:numId w:val="12"/>
              </w:numPr>
              <w:ind w:left="745" w:hanging="288"/>
              <w:rPr>
                <w:rFonts w:cs="Arial"/>
                <w:sz w:val="18"/>
                <w:szCs w:val="20"/>
              </w:rPr>
            </w:pPr>
            <w:r w:rsidRPr="007D1998">
              <w:rPr>
                <w:rFonts w:cs="Arial"/>
                <w:sz w:val="18"/>
                <w:szCs w:val="20"/>
              </w:rPr>
              <w:t>Nickel rose 21</w:t>
            </w:r>
            <w:r w:rsidR="007C6279" w:rsidRPr="007D1998">
              <w:rPr>
                <w:rFonts w:cs="Arial"/>
                <w:sz w:val="18"/>
                <w:szCs w:val="20"/>
              </w:rPr>
              <w:t>% to 7,</w:t>
            </w:r>
            <w:r w:rsidRPr="007D1998">
              <w:rPr>
                <w:rFonts w:cs="Arial"/>
                <w:sz w:val="18"/>
                <w:szCs w:val="20"/>
              </w:rPr>
              <w:t>558</w:t>
            </w:r>
            <w:r w:rsidR="007C6279" w:rsidRPr="007D1998">
              <w:rPr>
                <w:rFonts w:cs="Arial"/>
                <w:sz w:val="18"/>
                <w:szCs w:val="20"/>
              </w:rPr>
              <w:t>.</w:t>
            </w:r>
          </w:p>
          <w:p w14:paraId="4F3A3FAA" w14:textId="448DB727" w:rsidR="007C6279" w:rsidRPr="007D1998" w:rsidRDefault="00D922DC" w:rsidP="00E544E4">
            <w:pPr>
              <w:numPr>
                <w:ilvl w:val="1"/>
                <w:numId w:val="12"/>
              </w:numPr>
              <w:ind w:left="745" w:hanging="288"/>
              <w:rPr>
                <w:rFonts w:cs="Arial"/>
                <w:sz w:val="18"/>
                <w:szCs w:val="20"/>
              </w:rPr>
            </w:pPr>
            <w:r w:rsidRPr="007D1998">
              <w:rPr>
                <w:rFonts w:cs="Arial"/>
                <w:sz w:val="18"/>
                <w:szCs w:val="20"/>
              </w:rPr>
              <w:t>Lithium fell 47</w:t>
            </w:r>
            <w:r w:rsidR="007C6279" w:rsidRPr="007D1998">
              <w:rPr>
                <w:rFonts w:cs="Arial"/>
                <w:sz w:val="18"/>
                <w:szCs w:val="20"/>
              </w:rPr>
              <w:t xml:space="preserve">% to </w:t>
            </w:r>
            <w:r w:rsidRPr="007D1998">
              <w:rPr>
                <w:rFonts w:cs="Arial"/>
                <w:sz w:val="18"/>
                <w:szCs w:val="20"/>
              </w:rPr>
              <w:t>2,564</w:t>
            </w:r>
            <w:r w:rsidR="007C6279" w:rsidRPr="007D1998">
              <w:rPr>
                <w:rFonts w:cs="Arial"/>
                <w:sz w:val="18"/>
                <w:szCs w:val="20"/>
              </w:rPr>
              <w:t>.</w:t>
            </w:r>
          </w:p>
          <w:p w14:paraId="08A9328E" w14:textId="443A691D" w:rsidR="007C6279" w:rsidRPr="007D1998" w:rsidRDefault="007C6279" w:rsidP="00E544E4">
            <w:pPr>
              <w:numPr>
                <w:ilvl w:val="1"/>
                <w:numId w:val="12"/>
              </w:numPr>
              <w:ind w:left="745" w:hanging="288"/>
              <w:rPr>
                <w:rFonts w:cs="Arial"/>
                <w:sz w:val="18"/>
                <w:szCs w:val="20"/>
              </w:rPr>
            </w:pPr>
            <w:r w:rsidRPr="007D1998">
              <w:rPr>
                <w:rFonts w:cs="Arial"/>
                <w:sz w:val="18"/>
                <w:szCs w:val="20"/>
              </w:rPr>
              <w:t xml:space="preserve">Copper </w:t>
            </w:r>
            <w:r w:rsidR="00D922DC" w:rsidRPr="007D1998">
              <w:rPr>
                <w:rFonts w:cs="Arial"/>
                <w:sz w:val="18"/>
                <w:szCs w:val="20"/>
              </w:rPr>
              <w:t>fell 8</w:t>
            </w:r>
            <w:r w:rsidRPr="007D1998">
              <w:rPr>
                <w:rFonts w:cs="Arial"/>
                <w:sz w:val="18"/>
                <w:szCs w:val="20"/>
              </w:rPr>
              <w:t>% to 2,</w:t>
            </w:r>
            <w:r w:rsidR="00D922DC" w:rsidRPr="007D1998">
              <w:rPr>
                <w:rFonts w:cs="Arial"/>
                <w:sz w:val="18"/>
                <w:szCs w:val="20"/>
              </w:rPr>
              <w:t>075</w:t>
            </w:r>
            <w:r w:rsidRPr="007D1998">
              <w:rPr>
                <w:rFonts w:cs="Arial"/>
                <w:sz w:val="18"/>
                <w:szCs w:val="20"/>
              </w:rPr>
              <w:t>.</w:t>
            </w:r>
          </w:p>
          <w:p w14:paraId="5E05243C" w14:textId="69232A01" w:rsidR="007C6279" w:rsidRPr="007D1998" w:rsidRDefault="00D922DC" w:rsidP="00E544E4">
            <w:pPr>
              <w:numPr>
                <w:ilvl w:val="1"/>
                <w:numId w:val="12"/>
              </w:numPr>
              <w:ind w:left="745" w:hanging="288"/>
              <w:rPr>
                <w:rFonts w:cs="Arial"/>
                <w:sz w:val="18"/>
                <w:szCs w:val="20"/>
              </w:rPr>
            </w:pPr>
            <w:r w:rsidRPr="007D1998">
              <w:rPr>
                <w:rFonts w:cs="Arial"/>
                <w:sz w:val="18"/>
                <w:szCs w:val="20"/>
              </w:rPr>
              <w:t>Manganese rose 5</w:t>
            </w:r>
            <w:r w:rsidR="007C6279" w:rsidRPr="007D1998">
              <w:rPr>
                <w:rFonts w:cs="Arial"/>
                <w:sz w:val="18"/>
                <w:szCs w:val="20"/>
              </w:rPr>
              <w:t>% to 5</w:t>
            </w:r>
            <w:r w:rsidRPr="007D1998">
              <w:rPr>
                <w:rFonts w:cs="Arial"/>
                <w:sz w:val="18"/>
                <w:szCs w:val="20"/>
              </w:rPr>
              <w:t>22</w:t>
            </w:r>
            <w:r w:rsidR="007C6279" w:rsidRPr="007D1998">
              <w:rPr>
                <w:rFonts w:cs="Arial"/>
                <w:sz w:val="18"/>
                <w:szCs w:val="20"/>
              </w:rPr>
              <w:t>.</w:t>
            </w:r>
          </w:p>
          <w:p w14:paraId="064C09E9" w14:textId="04D8D255" w:rsidR="007C6279" w:rsidRPr="00F13E38" w:rsidRDefault="00D922DC" w:rsidP="00D922DC">
            <w:pPr>
              <w:numPr>
                <w:ilvl w:val="1"/>
                <w:numId w:val="12"/>
              </w:numPr>
              <w:ind w:left="745" w:hanging="288"/>
              <w:rPr>
                <w:rFonts w:cs="Arial"/>
                <w:sz w:val="18"/>
                <w:szCs w:val="18"/>
              </w:rPr>
            </w:pPr>
            <w:r w:rsidRPr="007D1998">
              <w:rPr>
                <w:rFonts w:cs="Arial"/>
                <w:sz w:val="18"/>
                <w:szCs w:val="20"/>
              </w:rPr>
              <w:t>Rare earths fell 23</w:t>
            </w:r>
            <w:r w:rsidR="007C6279" w:rsidRPr="007D1998">
              <w:rPr>
                <w:rFonts w:cs="Arial"/>
                <w:sz w:val="18"/>
                <w:szCs w:val="20"/>
              </w:rPr>
              <w:t>% to 2</w:t>
            </w:r>
            <w:r w:rsidRPr="007D1998">
              <w:rPr>
                <w:rFonts w:cs="Arial"/>
                <w:sz w:val="18"/>
                <w:szCs w:val="20"/>
              </w:rPr>
              <w:t>28</w:t>
            </w:r>
            <w:r w:rsidR="007C6279" w:rsidRPr="007D1998">
              <w:rPr>
                <w:rFonts w:cs="Arial"/>
                <w:sz w:val="18"/>
                <w:szCs w:val="20"/>
              </w:rPr>
              <w:t>.</w:t>
            </w:r>
          </w:p>
        </w:tc>
      </w:tr>
      <w:tr w:rsidR="007C6279" w:rsidRPr="00E84F58" w14:paraId="53D224D8" w14:textId="77777777" w:rsidTr="00E544E4">
        <w:tc>
          <w:tcPr>
            <w:tcW w:w="6661" w:type="dxa"/>
            <w:shd w:val="clear" w:color="auto" w:fill="auto"/>
          </w:tcPr>
          <w:p w14:paraId="592402AE" w14:textId="77777777" w:rsidR="007C6279" w:rsidRPr="00E84F58" w:rsidRDefault="00901C04" w:rsidP="00E544E4">
            <w:pPr>
              <w:jc w:val="center"/>
              <w:rPr>
                <w:rFonts w:cs="Arial"/>
                <w:sz w:val="20"/>
                <w:szCs w:val="20"/>
              </w:rPr>
            </w:pPr>
            <w:r>
              <w:rPr>
                <w:noProof/>
                <w:lang w:eastAsia="en-AU"/>
              </w:rPr>
              <w:pict w14:anchorId="30E565DC">
                <v:shape id="_x0000_i1032" type="#_x0000_t75" style="width:278.65pt;height:173pt">
                  <v:imagedata r:id="rId19" o:title=""/>
                </v:shape>
              </w:pict>
            </w:r>
          </w:p>
        </w:tc>
        <w:tc>
          <w:tcPr>
            <w:tcW w:w="3969" w:type="dxa"/>
            <w:vMerge/>
            <w:shd w:val="clear" w:color="auto" w:fill="auto"/>
          </w:tcPr>
          <w:p w14:paraId="5587BFB3" w14:textId="77777777" w:rsidR="007C6279" w:rsidRPr="00E84F58" w:rsidRDefault="007C6279" w:rsidP="00E544E4">
            <w:pPr>
              <w:rPr>
                <w:rFonts w:cs="Arial"/>
                <w:sz w:val="20"/>
                <w:szCs w:val="20"/>
              </w:rPr>
            </w:pPr>
          </w:p>
        </w:tc>
      </w:tr>
      <w:tr w:rsidR="007C6279" w:rsidRPr="00E84F58" w14:paraId="0DE12443" w14:textId="77777777" w:rsidTr="00E544E4">
        <w:tc>
          <w:tcPr>
            <w:tcW w:w="6661" w:type="dxa"/>
            <w:shd w:val="clear" w:color="auto" w:fill="auto"/>
          </w:tcPr>
          <w:p w14:paraId="3FDC651C" w14:textId="77777777" w:rsidR="007C6279" w:rsidRDefault="007C6279" w:rsidP="00E544E4">
            <w:pPr>
              <w:rPr>
                <w:rFonts w:cs="Arial"/>
                <w:sz w:val="10"/>
                <w:szCs w:val="20"/>
              </w:rPr>
            </w:pPr>
            <w:r w:rsidRPr="000279BE">
              <w:rPr>
                <w:rFonts w:cs="Arial"/>
                <w:sz w:val="10"/>
                <w:szCs w:val="20"/>
                <w:vertAlign w:val="superscript"/>
              </w:rPr>
              <w:t>1</w:t>
            </w:r>
            <w:r>
              <w:rPr>
                <w:rFonts w:cs="Arial"/>
                <w:sz w:val="10"/>
                <w:szCs w:val="20"/>
              </w:rPr>
              <w:t xml:space="preserve"> Full-time equivalent. (a) Includes cobalt. (b) Includes tin and tantalum. (c) Includes lead and zinc. (d) Excludes graphite.</w:t>
            </w:r>
          </w:p>
          <w:p w14:paraId="051FB991" w14:textId="77777777" w:rsidR="007C6279" w:rsidRPr="00975420" w:rsidRDefault="007C6279" w:rsidP="00E544E4">
            <w:pPr>
              <w:rPr>
                <w:rFonts w:cs="Arial"/>
                <w:sz w:val="10"/>
                <w:szCs w:val="20"/>
              </w:rPr>
            </w:pPr>
            <w:r>
              <w:rPr>
                <w:rFonts w:cs="Arial"/>
                <w:sz w:val="10"/>
                <w:szCs w:val="20"/>
              </w:rPr>
              <w:t>Source: Western Australian Department of Mines, Industry Regulation and Safety, Resource Data Files.</w:t>
            </w:r>
          </w:p>
        </w:tc>
        <w:tc>
          <w:tcPr>
            <w:tcW w:w="3969" w:type="dxa"/>
            <w:vMerge/>
            <w:shd w:val="clear" w:color="auto" w:fill="auto"/>
          </w:tcPr>
          <w:p w14:paraId="2D1EB3B6" w14:textId="77777777" w:rsidR="007C6279" w:rsidRPr="00E84F58" w:rsidRDefault="007C6279" w:rsidP="00E544E4">
            <w:pPr>
              <w:rPr>
                <w:rFonts w:cs="Arial"/>
                <w:sz w:val="20"/>
                <w:szCs w:val="20"/>
              </w:rPr>
            </w:pPr>
          </w:p>
        </w:tc>
      </w:tr>
    </w:tbl>
    <w:p w14:paraId="1138DB56" w14:textId="77777777" w:rsidR="007C6279" w:rsidRDefault="007C6279" w:rsidP="007C6279">
      <w:pPr>
        <w:rPr>
          <w:rFonts w:cs="Arial"/>
          <w:sz w:val="20"/>
          <w:szCs w:val="20"/>
        </w:rPr>
      </w:pPr>
    </w:p>
    <w:p w14:paraId="4D43202C" w14:textId="77777777" w:rsidR="007C6279" w:rsidRPr="00E903EA" w:rsidRDefault="007C6279" w:rsidP="007C6279">
      <w:pPr>
        <w:rPr>
          <w:rFonts w:cs="Arial"/>
          <w:sz w:val="4"/>
          <w:szCs w:val="20"/>
        </w:rPr>
      </w:pPr>
      <w:r>
        <w:rPr>
          <w:rFonts w:cs="Arial"/>
          <w:sz w:val="20"/>
          <w:szCs w:val="20"/>
        </w:rPr>
        <w:br w:type="page"/>
      </w:r>
    </w:p>
    <w:tbl>
      <w:tblPr>
        <w:tblW w:w="10632"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7C6279" w:rsidRPr="00E84F58" w14:paraId="6E53666E" w14:textId="77777777" w:rsidTr="00E544E4">
        <w:tc>
          <w:tcPr>
            <w:tcW w:w="10632" w:type="dxa"/>
            <w:tcBorders>
              <w:top w:val="nil"/>
              <w:left w:val="nil"/>
              <w:bottom w:val="nil"/>
              <w:right w:val="nil"/>
            </w:tcBorders>
            <w:shd w:val="clear" w:color="auto" w:fill="D9D9D9"/>
          </w:tcPr>
          <w:p w14:paraId="23361F16" w14:textId="77777777" w:rsidR="007C6279" w:rsidRPr="00E84F58" w:rsidRDefault="007C6279" w:rsidP="00E544E4">
            <w:pPr>
              <w:jc w:val="center"/>
              <w:rPr>
                <w:rFonts w:cs="Arial"/>
                <w:sz w:val="20"/>
                <w:szCs w:val="20"/>
              </w:rPr>
            </w:pPr>
            <w:r w:rsidRPr="00C90210">
              <w:rPr>
                <w:rFonts w:cs="Arial"/>
                <w:b/>
                <w:color w:val="C0504D"/>
                <w:sz w:val="20"/>
                <w:szCs w:val="20"/>
              </w:rPr>
              <w:t>CONTRIBUTION TO WESTERN AUSTRALIA</w:t>
            </w:r>
            <w:r>
              <w:rPr>
                <w:rFonts w:cs="Arial"/>
                <w:b/>
                <w:color w:val="C0504D"/>
                <w:sz w:val="20"/>
                <w:szCs w:val="20"/>
              </w:rPr>
              <w:t>’S</w:t>
            </w:r>
            <w:r w:rsidRPr="00C90210">
              <w:rPr>
                <w:rFonts w:cs="Arial"/>
                <w:b/>
                <w:color w:val="C0504D"/>
                <w:sz w:val="20"/>
                <w:szCs w:val="20"/>
              </w:rPr>
              <w:t xml:space="preserve"> ECONOMY</w:t>
            </w:r>
          </w:p>
        </w:tc>
      </w:tr>
    </w:tbl>
    <w:p w14:paraId="108D8931" w14:textId="77777777" w:rsidR="007C6279" w:rsidRDefault="007C6279" w:rsidP="007C6279">
      <w:pPr>
        <w:rPr>
          <w:rFonts w:cs="Arial"/>
          <w:sz w:val="4"/>
          <w:szCs w:val="20"/>
        </w:rPr>
      </w:pPr>
    </w:p>
    <w:tbl>
      <w:tblPr>
        <w:tblW w:w="10491" w:type="dxa"/>
        <w:tblInd w:w="-1452" w:type="dxa"/>
        <w:tblLook w:val="04A0" w:firstRow="1" w:lastRow="0" w:firstColumn="1" w:lastColumn="0" w:noHBand="0" w:noVBand="1"/>
      </w:tblPr>
      <w:tblGrid>
        <w:gridCol w:w="10491"/>
      </w:tblGrid>
      <w:tr w:rsidR="007C6279" w:rsidRPr="00D97954" w14:paraId="1477FED8" w14:textId="77777777" w:rsidTr="00E544E4">
        <w:tc>
          <w:tcPr>
            <w:tcW w:w="10491" w:type="dxa"/>
            <w:shd w:val="clear" w:color="auto" w:fill="auto"/>
            <w:vAlign w:val="center"/>
          </w:tcPr>
          <w:p w14:paraId="20D4E0C3" w14:textId="77777777" w:rsidR="007C6279" w:rsidRPr="00E63D2C" w:rsidRDefault="007C6279" w:rsidP="00E544E4">
            <w:pPr>
              <w:numPr>
                <w:ilvl w:val="0"/>
                <w:numId w:val="12"/>
              </w:numPr>
              <w:rPr>
                <w:rFonts w:cs="Arial"/>
                <w:sz w:val="20"/>
                <w:szCs w:val="20"/>
              </w:rPr>
            </w:pPr>
            <w:r w:rsidRPr="00E63D2C">
              <w:rPr>
                <w:rFonts w:cs="Arial"/>
                <w:sz w:val="16"/>
                <w:szCs w:val="20"/>
              </w:rPr>
              <w:t>Western Australia’s Greenbushes mine has produced lithium since 1983 when it was mainly used in glass and ceramics manufacturing. More recently, the mine has expanded production and other lithium mines were developed to meet the growing demand from lithium-ion battery manufacturers. Lithium-ion batteries are used in consumer electronics, clean energy storage and electric vehicles.</w:t>
            </w:r>
          </w:p>
          <w:p w14:paraId="21BF6904" w14:textId="4DF68550" w:rsidR="007C6279" w:rsidRPr="00027494" w:rsidRDefault="007C6279" w:rsidP="00E544E4">
            <w:pPr>
              <w:numPr>
                <w:ilvl w:val="0"/>
                <w:numId w:val="12"/>
              </w:numPr>
              <w:rPr>
                <w:rFonts w:cs="Arial"/>
                <w:sz w:val="20"/>
                <w:szCs w:val="20"/>
              </w:rPr>
            </w:pPr>
            <w:r w:rsidRPr="00027494">
              <w:rPr>
                <w:rFonts w:cs="Arial"/>
                <w:sz w:val="16"/>
                <w:szCs w:val="20"/>
              </w:rPr>
              <w:t xml:space="preserve">Western Australia exports lithium as spodumene concentrate for further processing, mainly in </w:t>
            </w:r>
            <w:r w:rsidR="00B66E51" w:rsidRPr="00027494">
              <w:rPr>
                <w:rFonts w:cs="Arial"/>
                <w:sz w:val="16"/>
                <w:szCs w:val="20"/>
              </w:rPr>
              <w:t xml:space="preserve">China. </w:t>
            </w:r>
            <w:r w:rsidRPr="00027494">
              <w:rPr>
                <w:rFonts w:cs="Arial"/>
                <w:sz w:val="16"/>
                <w:szCs w:val="20"/>
              </w:rPr>
              <w:t xml:space="preserve">Western Australia will start exporting lithium hydroxide </w:t>
            </w:r>
            <w:r w:rsidR="00F7705E" w:rsidRPr="00027494">
              <w:rPr>
                <w:rFonts w:cs="Arial"/>
                <w:sz w:val="16"/>
                <w:szCs w:val="20"/>
              </w:rPr>
              <w:t xml:space="preserve">when Tianqi Lithium commissions the first stage of its Kwinana plant. The </w:t>
            </w:r>
            <w:r w:rsidRPr="00027494">
              <w:rPr>
                <w:rFonts w:cs="Arial"/>
                <w:sz w:val="16"/>
                <w:szCs w:val="20"/>
              </w:rPr>
              <w:t>COVID</w:t>
            </w:r>
            <w:r w:rsidRPr="00027494">
              <w:rPr>
                <w:rFonts w:cs="Arial"/>
                <w:sz w:val="16"/>
                <w:szCs w:val="20"/>
              </w:rPr>
              <w:noBreakHyphen/>
              <w:t xml:space="preserve">19 pandemic </w:t>
            </w:r>
            <w:r w:rsidR="00F7705E" w:rsidRPr="00027494">
              <w:rPr>
                <w:rFonts w:cs="Arial"/>
                <w:sz w:val="16"/>
                <w:szCs w:val="20"/>
              </w:rPr>
              <w:t xml:space="preserve">has </w:t>
            </w:r>
            <w:r w:rsidRPr="00027494">
              <w:rPr>
                <w:rFonts w:cs="Arial"/>
                <w:sz w:val="16"/>
                <w:szCs w:val="20"/>
              </w:rPr>
              <w:t>led Tianqi Lithium to postpone commissioning the first stage of its Kwinana plant</w:t>
            </w:r>
            <w:r w:rsidR="00F7705E" w:rsidRPr="00027494">
              <w:rPr>
                <w:rFonts w:cs="Arial"/>
                <w:sz w:val="16"/>
                <w:szCs w:val="20"/>
              </w:rPr>
              <w:t xml:space="preserve"> to 2021</w:t>
            </w:r>
            <w:r w:rsidRPr="00027494">
              <w:rPr>
                <w:rFonts w:cs="Arial"/>
                <w:sz w:val="16"/>
                <w:szCs w:val="20"/>
              </w:rPr>
              <w:t>. Tianqi Lithium stopped building the second stage of the plant in September 2019 to focus on commissioning the first stage. Associated expansions of the Greenbushes mine were placed on hold prior to the COVID-19 pandemic due to market conditions. Albemarle</w:t>
            </w:r>
            <w:r w:rsidR="00F34401" w:rsidRPr="00027494">
              <w:rPr>
                <w:rFonts w:cs="Arial"/>
                <w:sz w:val="16"/>
                <w:szCs w:val="20"/>
              </w:rPr>
              <w:t xml:space="preserve"> has also slowed construction on its</w:t>
            </w:r>
            <w:r w:rsidRPr="00027494">
              <w:rPr>
                <w:rFonts w:cs="Arial"/>
                <w:sz w:val="16"/>
                <w:szCs w:val="20"/>
              </w:rPr>
              <w:t xml:space="preserve"> lithium hydroxide plant at Kemerton.</w:t>
            </w:r>
          </w:p>
          <w:p w14:paraId="472C7F91" w14:textId="6A366E11" w:rsidR="007C6279" w:rsidRPr="00027494" w:rsidRDefault="007C6279" w:rsidP="00E544E4">
            <w:pPr>
              <w:numPr>
                <w:ilvl w:val="0"/>
                <w:numId w:val="12"/>
              </w:numPr>
              <w:rPr>
                <w:rFonts w:cs="Arial"/>
                <w:sz w:val="20"/>
                <w:szCs w:val="20"/>
              </w:rPr>
            </w:pPr>
            <w:r w:rsidRPr="00027494">
              <w:rPr>
                <w:rFonts w:cs="Arial"/>
                <w:sz w:val="16"/>
                <w:szCs w:val="20"/>
              </w:rPr>
              <w:t>New investment in lithium projects will be reliant on a recovery in Chinese demand, which had weakened significantly pre-COVID-19</w:t>
            </w:r>
            <w:r w:rsidR="00F63586" w:rsidRPr="00027494">
              <w:rPr>
                <w:rFonts w:cs="Arial"/>
                <w:sz w:val="16"/>
                <w:szCs w:val="20"/>
              </w:rPr>
              <w:t>.</w:t>
            </w:r>
            <w:r w:rsidRPr="00027494">
              <w:rPr>
                <w:rFonts w:cs="Arial"/>
                <w:sz w:val="16"/>
                <w:szCs w:val="20"/>
              </w:rPr>
              <w:t xml:space="preserve"> </w:t>
            </w:r>
            <w:r w:rsidR="00F63586" w:rsidRPr="00027494">
              <w:rPr>
                <w:rFonts w:cs="Arial"/>
                <w:sz w:val="16"/>
                <w:szCs w:val="20"/>
              </w:rPr>
              <w:t xml:space="preserve">This </w:t>
            </w:r>
            <w:r w:rsidRPr="00027494">
              <w:rPr>
                <w:rFonts w:cs="Arial"/>
                <w:sz w:val="16"/>
                <w:szCs w:val="20"/>
              </w:rPr>
              <w:t>result</w:t>
            </w:r>
            <w:r w:rsidR="00F63586" w:rsidRPr="00027494">
              <w:rPr>
                <w:rFonts w:cs="Arial"/>
                <w:sz w:val="16"/>
                <w:szCs w:val="20"/>
              </w:rPr>
              <w:t>ed</w:t>
            </w:r>
            <w:r w:rsidRPr="00027494">
              <w:rPr>
                <w:rFonts w:cs="Arial"/>
                <w:sz w:val="16"/>
                <w:szCs w:val="20"/>
              </w:rPr>
              <w:t xml:space="preserve"> in Alita Resources’ Bald Hill mine entering care and maintenance and reduced production across other mines.</w:t>
            </w:r>
          </w:p>
          <w:p w14:paraId="1126B199" w14:textId="77777777" w:rsidR="007C6279" w:rsidRPr="00933859" w:rsidRDefault="007C6279" w:rsidP="00E544E4">
            <w:pPr>
              <w:numPr>
                <w:ilvl w:val="0"/>
                <w:numId w:val="12"/>
              </w:numPr>
              <w:rPr>
                <w:rFonts w:cs="Arial"/>
                <w:sz w:val="20"/>
                <w:szCs w:val="20"/>
              </w:rPr>
            </w:pPr>
            <w:r w:rsidRPr="00027494">
              <w:rPr>
                <w:rFonts w:cs="Arial"/>
                <w:sz w:val="16"/>
                <w:szCs w:val="20"/>
              </w:rPr>
              <w:t>Northern Minerals has temporarily ceased operation at its Browns Range pilot plant. Other major battery mineral companies continue to operate during the COVID</w:t>
            </w:r>
            <w:r w:rsidRPr="00027494">
              <w:rPr>
                <w:rFonts w:cs="Arial"/>
                <w:sz w:val="16"/>
                <w:szCs w:val="20"/>
              </w:rPr>
              <w:noBreakHyphen/>
              <w:t>19 pandemic and have implemented measures to reduce the risk of infecting workers, their families and local communities, and adhere to border closures and quarantine requirements on fly-in fly-out workers.</w:t>
            </w:r>
          </w:p>
        </w:tc>
      </w:tr>
    </w:tbl>
    <w:p w14:paraId="5A786A27" w14:textId="77777777" w:rsidR="007C6279" w:rsidRDefault="007C6279" w:rsidP="007C6279">
      <w:pPr>
        <w:rPr>
          <w:rFonts w:cs="Arial"/>
          <w:sz w:val="4"/>
          <w:szCs w:val="20"/>
        </w:rPr>
      </w:pPr>
    </w:p>
    <w:p w14:paraId="588D3129" w14:textId="77777777" w:rsidR="007C6279" w:rsidRPr="00130D72" w:rsidRDefault="007C6279" w:rsidP="007C6279">
      <w:pPr>
        <w:rPr>
          <w:rFonts w:cs="Arial"/>
          <w:sz w:val="4"/>
          <w:szCs w:val="20"/>
        </w:rPr>
      </w:pPr>
    </w:p>
    <w:p w14:paraId="3BA3C750" w14:textId="77777777" w:rsidR="007C6279" w:rsidRPr="00130D72" w:rsidRDefault="007C6279" w:rsidP="007C6279">
      <w:pPr>
        <w:rPr>
          <w:rFonts w:cs="Arial"/>
          <w:sz w:val="4"/>
          <w:szCs w:val="20"/>
        </w:rPr>
      </w:pPr>
    </w:p>
    <w:tbl>
      <w:tblPr>
        <w:tblW w:w="6342" w:type="pct"/>
        <w:tblInd w:w="-1593" w:type="dxa"/>
        <w:tblLayout w:type="fixed"/>
        <w:tblLook w:val="04A0" w:firstRow="1" w:lastRow="0" w:firstColumn="1" w:lastColumn="0" w:noHBand="0" w:noVBand="1"/>
      </w:tblPr>
      <w:tblGrid>
        <w:gridCol w:w="140"/>
        <w:gridCol w:w="10633"/>
      </w:tblGrid>
      <w:tr w:rsidR="007C6279" w:rsidRPr="00E84F58" w14:paraId="59E2E7EF" w14:textId="77777777" w:rsidTr="00E544E4">
        <w:trPr>
          <w:gridBefore w:val="1"/>
          <w:wBefore w:w="65" w:type="pct"/>
        </w:trPr>
        <w:tc>
          <w:tcPr>
            <w:tcW w:w="4935" w:type="pct"/>
            <w:shd w:val="clear" w:color="auto" w:fill="C0504D"/>
          </w:tcPr>
          <w:p w14:paraId="1522249A" w14:textId="77777777" w:rsidR="007C6279" w:rsidRPr="00EA792A" w:rsidRDefault="007C6279" w:rsidP="00E544E4">
            <w:pPr>
              <w:jc w:val="center"/>
              <w:rPr>
                <w:rFonts w:cs="Arial"/>
                <w:color w:val="FFFFFF"/>
                <w:sz w:val="20"/>
                <w:szCs w:val="20"/>
                <w:vertAlign w:val="superscript"/>
              </w:rPr>
            </w:pPr>
            <w:r w:rsidRPr="00EA792A">
              <w:rPr>
                <w:rFonts w:cs="Arial"/>
                <w:color w:val="FFFFFF"/>
                <w:sz w:val="20"/>
                <w:szCs w:val="20"/>
              </w:rPr>
              <w:t>Major battery minerals projects</w:t>
            </w:r>
            <w:r w:rsidRPr="00EA792A">
              <w:rPr>
                <w:rFonts w:cs="Arial"/>
                <w:color w:val="FFFFFF"/>
                <w:sz w:val="20"/>
                <w:szCs w:val="20"/>
                <w:vertAlign w:val="superscript"/>
              </w:rPr>
              <w:t>1</w:t>
            </w:r>
          </w:p>
        </w:tc>
      </w:tr>
      <w:tr w:rsidR="007C6279" w:rsidRPr="00E84F58" w14:paraId="5A718763" w14:textId="77777777" w:rsidTr="00E544E4">
        <w:trPr>
          <w:trHeight w:val="7370"/>
        </w:trPr>
        <w:tc>
          <w:tcPr>
            <w:tcW w:w="5000" w:type="pct"/>
            <w:gridSpan w:val="2"/>
            <w:shd w:val="clear" w:color="auto" w:fill="auto"/>
            <w:vAlign w:val="center"/>
          </w:tcPr>
          <w:tbl>
            <w:tblPr>
              <w:tblW w:w="106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15"/>
              <w:gridCol w:w="2605"/>
              <w:gridCol w:w="1844"/>
              <w:gridCol w:w="1701"/>
              <w:gridCol w:w="850"/>
              <w:gridCol w:w="989"/>
              <w:gridCol w:w="853"/>
            </w:tblGrid>
            <w:tr w:rsidR="00F63586" w:rsidRPr="00403DF2" w14:paraId="1FFFCB96" w14:textId="77777777" w:rsidTr="00F63586">
              <w:trPr>
                <w:trHeight w:val="227"/>
              </w:trPr>
              <w:tc>
                <w:tcPr>
                  <w:tcW w:w="852" w:type="pct"/>
                  <w:tcBorders>
                    <w:top w:val="single" w:sz="4" w:space="0" w:color="FFFFFF"/>
                    <w:left w:val="single" w:sz="4" w:space="0" w:color="FFFFFF"/>
                    <w:right w:val="nil"/>
                  </w:tcBorders>
                  <w:shd w:val="clear" w:color="auto" w:fill="C0504D"/>
                </w:tcPr>
                <w:p w14:paraId="70E89A4E" w14:textId="77777777" w:rsidR="007C6279" w:rsidRPr="00F63586" w:rsidRDefault="007C6279" w:rsidP="00F63586">
                  <w:pPr>
                    <w:jc w:val="left"/>
                    <w:rPr>
                      <w:rFonts w:cs="Arial"/>
                      <w:b/>
                      <w:bCs/>
                      <w:color w:val="FFFFFF"/>
                      <w:sz w:val="14"/>
                      <w:szCs w:val="16"/>
                    </w:rPr>
                  </w:pPr>
                  <w:r w:rsidRPr="00F63586">
                    <w:rPr>
                      <w:rFonts w:cs="Arial"/>
                      <w:b/>
                      <w:bCs/>
                      <w:color w:val="FFFFFF"/>
                      <w:sz w:val="14"/>
                      <w:szCs w:val="16"/>
                    </w:rPr>
                    <w:t>Operator</w:t>
                  </w:r>
                </w:p>
              </w:tc>
              <w:tc>
                <w:tcPr>
                  <w:tcW w:w="1222" w:type="pct"/>
                  <w:tcBorders>
                    <w:top w:val="single" w:sz="4" w:space="0" w:color="FFFFFF"/>
                    <w:left w:val="nil"/>
                    <w:right w:val="nil"/>
                  </w:tcBorders>
                  <w:shd w:val="clear" w:color="auto" w:fill="C0504D"/>
                </w:tcPr>
                <w:p w14:paraId="2674A46A" w14:textId="77777777" w:rsidR="007C6279" w:rsidRPr="00F63586" w:rsidRDefault="007C6279" w:rsidP="00F63586">
                  <w:pPr>
                    <w:jc w:val="left"/>
                    <w:rPr>
                      <w:rFonts w:cs="Arial"/>
                      <w:b/>
                      <w:bCs/>
                      <w:color w:val="FFFFFF"/>
                      <w:sz w:val="14"/>
                      <w:szCs w:val="16"/>
                    </w:rPr>
                  </w:pPr>
                  <w:r w:rsidRPr="00F63586">
                    <w:rPr>
                      <w:rFonts w:cs="Arial"/>
                      <w:b/>
                      <w:bCs/>
                      <w:color w:val="FFFFFF"/>
                      <w:sz w:val="14"/>
                      <w:szCs w:val="16"/>
                    </w:rPr>
                    <w:t>Project</w:t>
                  </w:r>
                </w:p>
              </w:tc>
              <w:tc>
                <w:tcPr>
                  <w:tcW w:w="865" w:type="pct"/>
                  <w:tcBorders>
                    <w:top w:val="single" w:sz="4" w:space="0" w:color="FFFFFF"/>
                    <w:left w:val="nil"/>
                    <w:right w:val="nil"/>
                  </w:tcBorders>
                  <w:shd w:val="clear" w:color="auto" w:fill="C0504D"/>
                </w:tcPr>
                <w:p w14:paraId="63D43692" w14:textId="77777777" w:rsidR="007C6279" w:rsidRPr="00F63586" w:rsidRDefault="007C6279" w:rsidP="00F63586">
                  <w:pPr>
                    <w:jc w:val="left"/>
                    <w:rPr>
                      <w:rFonts w:cs="Arial"/>
                      <w:b/>
                      <w:bCs/>
                      <w:color w:val="FFFFFF"/>
                      <w:sz w:val="14"/>
                      <w:szCs w:val="16"/>
                    </w:rPr>
                  </w:pPr>
                  <w:r w:rsidRPr="00F63586">
                    <w:rPr>
                      <w:rFonts w:cs="Arial"/>
                      <w:b/>
                      <w:bCs/>
                      <w:color w:val="FFFFFF"/>
                      <w:sz w:val="14"/>
                      <w:szCs w:val="16"/>
                    </w:rPr>
                    <w:t>Primary commodity</w:t>
                  </w:r>
                </w:p>
              </w:tc>
              <w:tc>
                <w:tcPr>
                  <w:tcW w:w="798" w:type="pct"/>
                  <w:tcBorders>
                    <w:top w:val="single" w:sz="4" w:space="0" w:color="FFFFFF"/>
                    <w:left w:val="nil"/>
                    <w:right w:val="nil"/>
                  </w:tcBorders>
                  <w:shd w:val="clear" w:color="auto" w:fill="C0504D"/>
                </w:tcPr>
                <w:p w14:paraId="5F3E647E" w14:textId="77777777" w:rsidR="007C6279" w:rsidRPr="00F63586" w:rsidRDefault="007C6279" w:rsidP="00F63586">
                  <w:pPr>
                    <w:jc w:val="left"/>
                    <w:rPr>
                      <w:rFonts w:cs="Arial"/>
                      <w:b/>
                      <w:bCs/>
                      <w:color w:val="FFFFFF"/>
                      <w:sz w:val="14"/>
                      <w:szCs w:val="16"/>
                    </w:rPr>
                  </w:pPr>
                  <w:r w:rsidRPr="00F63586">
                    <w:rPr>
                      <w:rFonts w:cs="Arial"/>
                      <w:b/>
                      <w:bCs/>
                      <w:color w:val="FFFFFF"/>
                      <w:sz w:val="14"/>
                      <w:szCs w:val="16"/>
                    </w:rPr>
                    <w:t>Region</w:t>
                  </w:r>
                </w:p>
              </w:tc>
              <w:tc>
                <w:tcPr>
                  <w:tcW w:w="399" w:type="pct"/>
                  <w:tcBorders>
                    <w:top w:val="single" w:sz="4" w:space="0" w:color="FFFFFF"/>
                    <w:left w:val="nil"/>
                    <w:right w:val="nil"/>
                  </w:tcBorders>
                  <w:shd w:val="clear" w:color="auto" w:fill="C0504D"/>
                </w:tcPr>
                <w:p w14:paraId="77A20D5D" w14:textId="77777777" w:rsidR="007C6279" w:rsidRPr="00F63586" w:rsidRDefault="007C6279" w:rsidP="00F63586">
                  <w:pPr>
                    <w:jc w:val="center"/>
                    <w:rPr>
                      <w:rFonts w:cs="Arial"/>
                      <w:b/>
                      <w:bCs/>
                      <w:color w:val="FFFFFF"/>
                      <w:sz w:val="14"/>
                      <w:szCs w:val="16"/>
                    </w:rPr>
                  </w:pPr>
                  <w:r w:rsidRPr="00F63586">
                    <w:rPr>
                      <w:rFonts w:cs="Arial"/>
                      <w:b/>
                      <w:bCs/>
                      <w:color w:val="FFFFFF"/>
                      <w:sz w:val="14"/>
                      <w:szCs w:val="16"/>
                    </w:rPr>
                    <w:t>Capex ($m)</w:t>
                  </w:r>
                </w:p>
              </w:tc>
              <w:tc>
                <w:tcPr>
                  <w:tcW w:w="464" w:type="pct"/>
                  <w:tcBorders>
                    <w:top w:val="single" w:sz="4" w:space="0" w:color="FFFFFF"/>
                    <w:left w:val="nil"/>
                    <w:right w:val="nil"/>
                  </w:tcBorders>
                  <w:shd w:val="clear" w:color="auto" w:fill="C0504D"/>
                </w:tcPr>
                <w:p w14:paraId="1EE78F97" w14:textId="77777777" w:rsidR="007C6279" w:rsidRPr="00F63586" w:rsidRDefault="007C6279" w:rsidP="00F63586">
                  <w:pPr>
                    <w:jc w:val="center"/>
                    <w:rPr>
                      <w:rFonts w:cs="Arial"/>
                      <w:b/>
                      <w:bCs/>
                      <w:color w:val="FFFFFF"/>
                      <w:sz w:val="14"/>
                      <w:szCs w:val="16"/>
                    </w:rPr>
                  </w:pPr>
                  <w:r w:rsidRPr="00F63586">
                    <w:rPr>
                      <w:rFonts w:cs="Arial"/>
                      <w:b/>
                      <w:bCs/>
                      <w:color w:val="FFFFFF"/>
                      <w:sz w:val="14"/>
                      <w:szCs w:val="16"/>
                    </w:rPr>
                    <w:t>Capacity (ktpa)</w:t>
                  </w:r>
                </w:p>
              </w:tc>
              <w:tc>
                <w:tcPr>
                  <w:tcW w:w="400" w:type="pct"/>
                  <w:tcBorders>
                    <w:top w:val="single" w:sz="4" w:space="0" w:color="FFFFFF"/>
                    <w:left w:val="nil"/>
                    <w:right w:val="single" w:sz="4" w:space="0" w:color="FFFFFF"/>
                  </w:tcBorders>
                  <w:shd w:val="clear" w:color="auto" w:fill="C0504D"/>
                </w:tcPr>
                <w:p w14:paraId="347C4F6D" w14:textId="77777777" w:rsidR="007C6279" w:rsidRPr="00F63586" w:rsidRDefault="007C6279" w:rsidP="00F63586">
                  <w:pPr>
                    <w:jc w:val="center"/>
                    <w:rPr>
                      <w:rFonts w:cs="Arial"/>
                      <w:b/>
                      <w:bCs/>
                      <w:color w:val="FFFFFF"/>
                      <w:sz w:val="14"/>
                      <w:szCs w:val="16"/>
                    </w:rPr>
                  </w:pPr>
                  <w:r w:rsidRPr="00F63586">
                    <w:rPr>
                      <w:rFonts w:cs="Arial"/>
                      <w:b/>
                      <w:bCs/>
                      <w:color w:val="FFFFFF"/>
                      <w:sz w:val="14"/>
                      <w:szCs w:val="16"/>
                    </w:rPr>
                    <w:t>Start-up</w:t>
                  </w:r>
                </w:p>
              </w:tc>
            </w:tr>
            <w:tr w:rsidR="007C6279" w:rsidRPr="00403DF2" w14:paraId="1F95DE29" w14:textId="77777777" w:rsidTr="00F63586">
              <w:trPr>
                <w:trHeight w:val="227"/>
              </w:trPr>
              <w:tc>
                <w:tcPr>
                  <w:tcW w:w="5000" w:type="pct"/>
                  <w:gridSpan w:val="7"/>
                  <w:tcBorders>
                    <w:left w:val="single" w:sz="4" w:space="0" w:color="FFFFFF"/>
                  </w:tcBorders>
                  <w:shd w:val="clear" w:color="auto" w:fill="C0504D"/>
                </w:tcPr>
                <w:p w14:paraId="3331FBCE" w14:textId="77777777" w:rsidR="007C6279" w:rsidRPr="00F63586" w:rsidRDefault="007C6279" w:rsidP="00F63586">
                  <w:pPr>
                    <w:jc w:val="left"/>
                    <w:rPr>
                      <w:rFonts w:cs="Arial"/>
                      <w:b/>
                      <w:bCs/>
                      <w:color w:val="FFFFFF"/>
                      <w:sz w:val="14"/>
                      <w:szCs w:val="16"/>
                    </w:rPr>
                  </w:pPr>
                  <w:r w:rsidRPr="00F63586">
                    <w:rPr>
                      <w:rFonts w:cs="Arial"/>
                      <w:b/>
                      <w:bCs/>
                      <w:color w:val="FFFFFF"/>
                      <w:sz w:val="14"/>
                      <w:szCs w:val="16"/>
                    </w:rPr>
                    <w:t>Operating</w:t>
                  </w:r>
                  <w:r w:rsidRPr="00F63586">
                    <w:rPr>
                      <w:rFonts w:cs="Arial"/>
                      <w:b/>
                      <w:bCs/>
                      <w:color w:val="FFFFFF"/>
                      <w:sz w:val="14"/>
                      <w:szCs w:val="16"/>
                      <w:vertAlign w:val="superscript"/>
                    </w:rPr>
                    <w:t>2</w:t>
                  </w:r>
                </w:p>
              </w:tc>
            </w:tr>
            <w:tr w:rsidR="00F63586" w:rsidRPr="00403DF2" w14:paraId="1D20D9CB" w14:textId="77777777" w:rsidTr="00F63586">
              <w:trPr>
                <w:trHeight w:val="227"/>
              </w:trPr>
              <w:tc>
                <w:tcPr>
                  <w:tcW w:w="852" w:type="pct"/>
                  <w:tcBorders>
                    <w:left w:val="single" w:sz="4" w:space="0" w:color="FFFFFF"/>
                  </w:tcBorders>
                  <w:shd w:val="clear" w:color="auto" w:fill="C0504D"/>
                </w:tcPr>
                <w:p w14:paraId="537899F1" w14:textId="77777777" w:rsidR="007C6279" w:rsidRPr="00F63586" w:rsidRDefault="007C6279" w:rsidP="00F63586">
                  <w:pPr>
                    <w:jc w:val="left"/>
                    <w:rPr>
                      <w:rFonts w:cs="Arial"/>
                      <w:b/>
                      <w:bCs/>
                      <w:i/>
                      <w:color w:val="FFFFFF"/>
                      <w:sz w:val="12"/>
                      <w:szCs w:val="14"/>
                    </w:rPr>
                  </w:pPr>
                  <w:r w:rsidRPr="00F63586">
                    <w:rPr>
                      <w:rFonts w:cs="Arial"/>
                      <w:b/>
                      <w:bCs/>
                      <w:i/>
                      <w:color w:val="FFFFFF"/>
                      <w:sz w:val="14"/>
                      <w:szCs w:val="14"/>
                    </w:rPr>
                    <w:t>Lithium</w:t>
                  </w:r>
                </w:p>
              </w:tc>
              <w:tc>
                <w:tcPr>
                  <w:tcW w:w="1222" w:type="pct"/>
                  <w:shd w:val="clear" w:color="auto" w:fill="F2DBDB"/>
                </w:tcPr>
                <w:p w14:paraId="54B6A497" w14:textId="77777777" w:rsidR="007C6279" w:rsidRPr="00F63586" w:rsidRDefault="007C6279" w:rsidP="00F63586">
                  <w:pPr>
                    <w:jc w:val="left"/>
                    <w:rPr>
                      <w:rFonts w:cs="Arial"/>
                      <w:bCs/>
                      <w:sz w:val="12"/>
                      <w:szCs w:val="14"/>
                    </w:rPr>
                  </w:pPr>
                </w:p>
              </w:tc>
              <w:tc>
                <w:tcPr>
                  <w:tcW w:w="865" w:type="pct"/>
                  <w:shd w:val="clear" w:color="auto" w:fill="F2DBDB"/>
                </w:tcPr>
                <w:p w14:paraId="7DD52039" w14:textId="77777777" w:rsidR="007C6279" w:rsidRPr="00F63586" w:rsidRDefault="007C6279" w:rsidP="00F63586">
                  <w:pPr>
                    <w:jc w:val="left"/>
                    <w:rPr>
                      <w:rFonts w:cs="Arial"/>
                      <w:bCs/>
                      <w:sz w:val="12"/>
                      <w:szCs w:val="14"/>
                    </w:rPr>
                  </w:pPr>
                </w:p>
              </w:tc>
              <w:tc>
                <w:tcPr>
                  <w:tcW w:w="798" w:type="pct"/>
                  <w:shd w:val="clear" w:color="auto" w:fill="F2DBDB"/>
                </w:tcPr>
                <w:p w14:paraId="74423612" w14:textId="77777777" w:rsidR="007C6279" w:rsidRPr="00F63586" w:rsidRDefault="007C6279" w:rsidP="00F63586">
                  <w:pPr>
                    <w:jc w:val="left"/>
                    <w:rPr>
                      <w:rFonts w:cs="Arial"/>
                      <w:sz w:val="12"/>
                      <w:szCs w:val="14"/>
                    </w:rPr>
                  </w:pPr>
                </w:p>
              </w:tc>
              <w:tc>
                <w:tcPr>
                  <w:tcW w:w="399" w:type="pct"/>
                  <w:shd w:val="clear" w:color="auto" w:fill="F2DBDB"/>
                </w:tcPr>
                <w:p w14:paraId="2B214B0C" w14:textId="77777777" w:rsidR="007C6279" w:rsidRPr="00F63586" w:rsidRDefault="007C6279" w:rsidP="00F63586">
                  <w:pPr>
                    <w:jc w:val="center"/>
                    <w:rPr>
                      <w:rFonts w:cs="Arial"/>
                      <w:sz w:val="12"/>
                      <w:szCs w:val="14"/>
                    </w:rPr>
                  </w:pPr>
                </w:p>
              </w:tc>
              <w:tc>
                <w:tcPr>
                  <w:tcW w:w="464" w:type="pct"/>
                  <w:shd w:val="clear" w:color="auto" w:fill="F2DBDB"/>
                </w:tcPr>
                <w:p w14:paraId="3748E49A" w14:textId="77777777" w:rsidR="007C6279" w:rsidRPr="00F63586" w:rsidRDefault="007C6279" w:rsidP="00F63586">
                  <w:pPr>
                    <w:jc w:val="center"/>
                    <w:rPr>
                      <w:rFonts w:cs="Arial"/>
                      <w:bCs/>
                      <w:sz w:val="12"/>
                      <w:szCs w:val="14"/>
                    </w:rPr>
                  </w:pPr>
                </w:p>
              </w:tc>
              <w:tc>
                <w:tcPr>
                  <w:tcW w:w="400" w:type="pct"/>
                  <w:shd w:val="clear" w:color="auto" w:fill="F2DBDB"/>
                </w:tcPr>
                <w:p w14:paraId="0276A83D" w14:textId="77777777" w:rsidR="007C6279" w:rsidRPr="00F63586" w:rsidRDefault="007C6279" w:rsidP="00F63586">
                  <w:pPr>
                    <w:jc w:val="center"/>
                    <w:rPr>
                      <w:rFonts w:cs="Arial"/>
                      <w:bCs/>
                      <w:sz w:val="12"/>
                      <w:szCs w:val="14"/>
                    </w:rPr>
                  </w:pPr>
                </w:p>
              </w:tc>
            </w:tr>
            <w:tr w:rsidR="00F63586" w:rsidRPr="00403DF2" w14:paraId="26A85D20" w14:textId="77777777" w:rsidTr="00F63586">
              <w:trPr>
                <w:trHeight w:val="227"/>
              </w:trPr>
              <w:tc>
                <w:tcPr>
                  <w:tcW w:w="852" w:type="pct"/>
                  <w:tcBorders>
                    <w:left w:val="single" w:sz="4" w:space="0" w:color="FFFFFF"/>
                  </w:tcBorders>
                  <w:shd w:val="clear" w:color="auto" w:fill="C0504D"/>
                </w:tcPr>
                <w:p w14:paraId="10500BFB"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Talison Lithium^</w:t>
                  </w:r>
                </w:p>
              </w:tc>
              <w:tc>
                <w:tcPr>
                  <w:tcW w:w="1222" w:type="pct"/>
                  <w:shd w:val="clear" w:color="auto" w:fill="E5B8B7"/>
                </w:tcPr>
                <w:p w14:paraId="69E84E62" w14:textId="77777777" w:rsidR="007C6279" w:rsidRPr="00F63586" w:rsidRDefault="007C6279" w:rsidP="00F63586">
                  <w:pPr>
                    <w:jc w:val="left"/>
                    <w:rPr>
                      <w:rFonts w:cs="Arial"/>
                      <w:bCs/>
                      <w:sz w:val="12"/>
                      <w:szCs w:val="14"/>
                    </w:rPr>
                  </w:pPr>
                  <w:r w:rsidRPr="00F63586">
                    <w:rPr>
                      <w:rFonts w:cs="Arial"/>
                      <w:sz w:val="12"/>
                      <w:szCs w:val="14"/>
                    </w:rPr>
                    <w:t>Greenbushes mine (includes CGP1-2)</w:t>
                  </w:r>
                </w:p>
              </w:tc>
              <w:tc>
                <w:tcPr>
                  <w:tcW w:w="865" w:type="pct"/>
                  <w:shd w:val="clear" w:color="auto" w:fill="E5B8B7"/>
                </w:tcPr>
                <w:p w14:paraId="1013FA45" w14:textId="77777777" w:rsidR="007C6279" w:rsidRPr="00F63586" w:rsidRDefault="007C6279" w:rsidP="00F63586">
                  <w:pPr>
                    <w:jc w:val="left"/>
                    <w:rPr>
                      <w:rFonts w:cs="Arial"/>
                      <w:bCs/>
                      <w:sz w:val="12"/>
                      <w:szCs w:val="14"/>
                    </w:rPr>
                  </w:pPr>
                  <w:r w:rsidRPr="00F63586">
                    <w:rPr>
                      <w:rFonts w:cs="Arial"/>
                      <w:bCs/>
                      <w:sz w:val="12"/>
                      <w:szCs w:val="14"/>
                    </w:rPr>
                    <w:t>Lithium concentrate</w:t>
                  </w:r>
                </w:p>
              </w:tc>
              <w:tc>
                <w:tcPr>
                  <w:tcW w:w="798" w:type="pct"/>
                  <w:shd w:val="clear" w:color="auto" w:fill="E5B8B7"/>
                </w:tcPr>
                <w:p w14:paraId="6974D56C" w14:textId="77777777" w:rsidR="007C6279" w:rsidRPr="00F63586" w:rsidRDefault="007C6279" w:rsidP="00F63586">
                  <w:pPr>
                    <w:jc w:val="left"/>
                    <w:rPr>
                      <w:rFonts w:cs="Arial"/>
                      <w:sz w:val="12"/>
                      <w:szCs w:val="14"/>
                    </w:rPr>
                  </w:pPr>
                  <w:r w:rsidRPr="00F63586">
                    <w:rPr>
                      <w:rFonts w:cs="Arial"/>
                      <w:sz w:val="12"/>
                      <w:szCs w:val="14"/>
                    </w:rPr>
                    <w:t>South West</w:t>
                  </w:r>
                </w:p>
              </w:tc>
              <w:tc>
                <w:tcPr>
                  <w:tcW w:w="399" w:type="pct"/>
                  <w:shd w:val="clear" w:color="auto" w:fill="E5B8B7"/>
                </w:tcPr>
                <w:p w14:paraId="422C7E74" w14:textId="77777777" w:rsidR="007C6279" w:rsidRPr="00F63586" w:rsidRDefault="007C6279" w:rsidP="00F63586">
                  <w:pPr>
                    <w:jc w:val="center"/>
                    <w:rPr>
                      <w:rFonts w:cs="Arial"/>
                      <w:sz w:val="12"/>
                      <w:szCs w:val="14"/>
                    </w:rPr>
                  </w:pPr>
                  <w:r w:rsidRPr="00F63586">
                    <w:rPr>
                      <w:rFonts w:cs="Arial"/>
                      <w:sz w:val="12"/>
                      <w:szCs w:val="14"/>
                    </w:rPr>
                    <w:t>n.a.</w:t>
                  </w:r>
                </w:p>
              </w:tc>
              <w:tc>
                <w:tcPr>
                  <w:tcW w:w="464" w:type="pct"/>
                  <w:shd w:val="clear" w:color="auto" w:fill="E5B8B7"/>
                </w:tcPr>
                <w:p w14:paraId="3FFC0966" w14:textId="77777777" w:rsidR="007C6279" w:rsidRPr="00F63586" w:rsidRDefault="007C6279" w:rsidP="00F63586">
                  <w:pPr>
                    <w:jc w:val="center"/>
                    <w:rPr>
                      <w:rFonts w:cs="Arial"/>
                      <w:bCs/>
                      <w:sz w:val="12"/>
                      <w:szCs w:val="14"/>
                    </w:rPr>
                  </w:pPr>
                  <w:r w:rsidRPr="00F63586">
                    <w:rPr>
                      <w:rFonts w:cs="Arial"/>
                      <w:sz w:val="12"/>
                      <w:szCs w:val="14"/>
                    </w:rPr>
                    <w:t>1,340</w:t>
                  </w:r>
                </w:p>
              </w:tc>
              <w:tc>
                <w:tcPr>
                  <w:tcW w:w="400" w:type="pct"/>
                  <w:shd w:val="clear" w:color="auto" w:fill="E5B8B7"/>
                </w:tcPr>
                <w:p w14:paraId="43015F0D" w14:textId="77777777" w:rsidR="007C6279" w:rsidRPr="00F63586" w:rsidRDefault="007C6279" w:rsidP="00F63586">
                  <w:pPr>
                    <w:jc w:val="center"/>
                    <w:rPr>
                      <w:rFonts w:cs="Arial"/>
                      <w:bCs/>
                      <w:sz w:val="12"/>
                      <w:szCs w:val="14"/>
                    </w:rPr>
                  </w:pPr>
                  <w:r w:rsidRPr="00F63586">
                    <w:rPr>
                      <w:rFonts w:cs="Arial"/>
                      <w:sz w:val="12"/>
                      <w:szCs w:val="14"/>
                    </w:rPr>
                    <w:t>1983</w:t>
                  </w:r>
                </w:p>
              </w:tc>
            </w:tr>
            <w:tr w:rsidR="00F63586" w:rsidRPr="00403DF2" w14:paraId="13C4C766" w14:textId="77777777" w:rsidTr="00F63586">
              <w:trPr>
                <w:trHeight w:val="227"/>
              </w:trPr>
              <w:tc>
                <w:tcPr>
                  <w:tcW w:w="852" w:type="pct"/>
                  <w:tcBorders>
                    <w:left w:val="single" w:sz="4" w:space="0" w:color="FFFFFF"/>
                  </w:tcBorders>
                  <w:shd w:val="clear" w:color="auto" w:fill="C0504D"/>
                </w:tcPr>
                <w:p w14:paraId="24096194"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Galaxy Resources</w:t>
                  </w:r>
                </w:p>
              </w:tc>
              <w:tc>
                <w:tcPr>
                  <w:tcW w:w="1222" w:type="pct"/>
                  <w:shd w:val="clear" w:color="auto" w:fill="F2DBDB"/>
                </w:tcPr>
                <w:p w14:paraId="16F13326" w14:textId="77777777" w:rsidR="007C6279" w:rsidRPr="00F63586" w:rsidRDefault="007C6279" w:rsidP="00F63586">
                  <w:pPr>
                    <w:jc w:val="left"/>
                    <w:rPr>
                      <w:rFonts w:cs="Arial"/>
                      <w:bCs/>
                      <w:sz w:val="12"/>
                      <w:szCs w:val="14"/>
                    </w:rPr>
                  </w:pPr>
                  <w:r w:rsidRPr="00F63586">
                    <w:rPr>
                      <w:rFonts w:cs="Arial"/>
                      <w:sz w:val="12"/>
                      <w:szCs w:val="14"/>
                    </w:rPr>
                    <w:t>Mt Cattlin mine</w:t>
                  </w:r>
                </w:p>
              </w:tc>
              <w:tc>
                <w:tcPr>
                  <w:tcW w:w="865" w:type="pct"/>
                  <w:shd w:val="clear" w:color="auto" w:fill="F2DBDB"/>
                </w:tcPr>
                <w:p w14:paraId="3E43FE1D" w14:textId="77777777" w:rsidR="007C6279" w:rsidRPr="00F63586" w:rsidRDefault="007C6279" w:rsidP="00F63586">
                  <w:pPr>
                    <w:jc w:val="left"/>
                    <w:rPr>
                      <w:rFonts w:cs="Arial"/>
                      <w:bCs/>
                      <w:color w:val="548DD4"/>
                      <w:sz w:val="12"/>
                      <w:szCs w:val="14"/>
                    </w:rPr>
                  </w:pPr>
                  <w:r w:rsidRPr="00F63586">
                    <w:rPr>
                      <w:rFonts w:cs="Arial"/>
                      <w:bCs/>
                      <w:sz w:val="12"/>
                      <w:szCs w:val="14"/>
                    </w:rPr>
                    <w:t>Lithium concentrate</w:t>
                  </w:r>
                </w:p>
              </w:tc>
              <w:tc>
                <w:tcPr>
                  <w:tcW w:w="798" w:type="pct"/>
                  <w:shd w:val="clear" w:color="auto" w:fill="F2DBDB"/>
                </w:tcPr>
                <w:p w14:paraId="5178790C"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F2DBDB"/>
                </w:tcPr>
                <w:p w14:paraId="15C8AB63" w14:textId="77777777" w:rsidR="007C6279" w:rsidRPr="00F63586" w:rsidRDefault="007C6279" w:rsidP="00F63586">
                  <w:pPr>
                    <w:jc w:val="center"/>
                    <w:rPr>
                      <w:rFonts w:cs="Arial"/>
                      <w:sz w:val="12"/>
                      <w:szCs w:val="14"/>
                    </w:rPr>
                  </w:pPr>
                  <w:r w:rsidRPr="00F63586">
                    <w:rPr>
                      <w:rFonts w:cs="Arial"/>
                      <w:sz w:val="12"/>
                      <w:szCs w:val="14"/>
                    </w:rPr>
                    <w:t>250</w:t>
                  </w:r>
                </w:p>
              </w:tc>
              <w:tc>
                <w:tcPr>
                  <w:tcW w:w="464" w:type="pct"/>
                  <w:shd w:val="clear" w:color="auto" w:fill="F2DBDB"/>
                </w:tcPr>
                <w:p w14:paraId="4E63A944" w14:textId="77777777" w:rsidR="007C6279" w:rsidRPr="00F63586" w:rsidRDefault="007C6279" w:rsidP="00F63586">
                  <w:pPr>
                    <w:jc w:val="center"/>
                    <w:rPr>
                      <w:rFonts w:cs="Arial"/>
                      <w:bCs/>
                      <w:sz w:val="12"/>
                      <w:szCs w:val="14"/>
                    </w:rPr>
                  </w:pPr>
                  <w:r w:rsidRPr="00F63586">
                    <w:rPr>
                      <w:rFonts w:cs="Arial"/>
                      <w:sz w:val="12"/>
                      <w:szCs w:val="14"/>
                    </w:rPr>
                    <w:t>180</w:t>
                  </w:r>
                </w:p>
              </w:tc>
              <w:tc>
                <w:tcPr>
                  <w:tcW w:w="400" w:type="pct"/>
                  <w:shd w:val="clear" w:color="auto" w:fill="F2DBDB"/>
                </w:tcPr>
                <w:p w14:paraId="6061674C" w14:textId="77777777" w:rsidR="007C6279" w:rsidRPr="00F63586" w:rsidRDefault="007C6279" w:rsidP="00F63586">
                  <w:pPr>
                    <w:jc w:val="center"/>
                    <w:rPr>
                      <w:rFonts w:cs="Arial"/>
                      <w:bCs/>
                      <w:sz w:val="12"/>
                      <w:szCs w:val="14"/>
                    </w:rPr>
                  </w:pPr>
                  <w:r w:rsidRPr="00F63586">
                    <w:rPr>
                      <w:rFonts w:cs="Arial"/>
                      <w:sz w:val="12"/>
                      <w:szCs w:val="14"/>
                    </w:rPr>
                    <w:t>2016</w:t>
                  </w:r>
                </w:p>
              </w:tc>
            </w:tr>
            <w:tr w:rsidR="00F63586" w:rsidRPr="00403DF2" w14:paraId="267FFD11" w14:textId="77777777" w:rsidTr="00F63586">
              <w:trPr>
                <w:trHeight w:val="227"/>
              </w:trPr>
              <w:tc>
                <w:tcPr>
                  <w:tcW w:w="852" w:type="pct"/>
                  <w:tcBorders>
                    <w:left w:val="single" w:sz="4" w:space="0" w:color="FFFFFF"/>
                  </w:tcBorders>
                  <w:shd w:val="clear" w:color="auto" w:fill="C0504D"/>
                </w:tcPr>
                <w:p w14:paraId="7F224009"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Mineral Resources</w:t>
                  </w:r>
                </w:p>
              </w:tc>
              <w:tc>
                <w:tcPr>
                  <w:tcW w:w="1222" w:type="pct"/>
                  <w:shd w:val="clear" w:color="auto" w:fill="E5B8B7"/>
                </w:tcPr>
                <w:p w14:paraId="5FFF8B02" w14:textId="77777777" w:rsidR="007C6279" w:rsidRPr="00F63586" w:rsidRDefault="007C6279" w:rsidP="00F63586">
                  <w:pPr>
                    <w:jc w:val="left"/>
                    <w:rPr>
                      <w:rFonts w:cs="Arial"/>
                      <w:bCs/>
                      <w:sz w:val="12"/>
                      <w:szCs w:val="14"/>
                    </w:rPr>
                  </w:pPr>
                  <w:r w:rsidRPr="00F63586">
                    <w:rPr>
                      <w:rFonts w:cs="Arial"/>
                      <w:sz w:val="12"/>
                      <w:szCs w:val="14"/>
                    </w:rPr>
                    <w:t>Mt Marion mine</w:t>
                  </w:r>
                </w:p>
              </w:tc>
              <w:tc>
                <w:tcPr>
                  <w:tcW w:w="865" w:type="pct"/>
                  <w:shd w:val="clear" w:color="auto" w:fill="E5B8B7"/>
                </w:tcPr>
                <w:p w14:paraId="6984C1BD" w14:textId="77777777" w:rsidR="007C6279" w:rsidRPr="00F63586" w:rsidRDefault="007C6279" w:rsidP="00F63586">
                  <w:pPr>
                    <w:jc w:val="left"/>
                    <w:rPr>
                      <w:rFonts w:cs="Arial"/>
                      <w:bCs/>
                      <w:color w:val="548DD4"/>
                      <w:sz w:val="12"/>
                      <w:szCs w:val="14"/>
                    </w:rPr>
                  </w:pPr>
                  <w:r w:rsidRPr="00F63586">
                    <w:rPr>
                      <w:rFonts w:cs="Arial"/>
                      <w:bCs/>
                      <w:sz w:val="12"/>
                      <w:szCs w:val="14"/>
                    </w:rPr>
                    <w:t>Lithium concentrate</w:t>
                  </w:r>
                </w:p>
              </w:tc>
              <w:tc>
                <w:tcPr>
                  <w:tcW w:w="798" w:type="pct"/>
                  <w:shd w:val="clear" w:color="auto" w:fill="E5B8B7"/>
                </w:tcPr>
                <w:p w14:paraId="25094CB9"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E5B8B7"/>
                </w:tcPr>
                <w:p w14:paraId="70D11F9C" w14:textId="77777777" w:rsidR="007C6279" w:rsidRPr="00F63586" w:rsidRDefault="007C6279" w:rsidP="00F63586">
                  <w:pPr>
                    <w:jc w:val="center"/>
                    <w:rPr>
                      <w:rFonts w:cs="Arial"/>
                      <w:sz w:val="12"/>
                      <w:szCs w:val="14"/>
                    </w:rPr>
                  </w:pPr>
                  <w:r w:rsidRPr="00F63586">
                    <w:rPr>
                      <w:rFonts w:cs="Arial"/>
                      <w:sz w:val="12"/>
                      <w:szCs w:val="14"/>
                    </w:rPr>
                    <w:t>300</w:t>
                  </w:r>
                </w:p>
              </w:tc>
              <w:tc>
                <w:tcPr>
                  <w:tcW w:w="464" w:type="pct"/>
                  <w:shd w:val="clear" w:color="auto" w:fill="E5B8B7"/>
                </w:tcPr>
                <w:p w14:paraId="21B68BAD" w14:textId="77777777" w:rsidR="007C6279" w:rsidRPr="00F63586" w:rsidRDefault="007C6279" w:rsidP="00F63586">
                  <w:pPr>
                    <w:jc w:val="center"/>
                    <w:rPr>
                      <w:rFonts w:cs="Arial"/>
                      <w:bCs/>
                      <w:sz w:val="12"/>
                      <w:szCs w:val="14"/>
                    </w:rPr>
                  </w:pPr>
                  <w:r w:rsidRPr="00F63586">
                    <w:rPr>
                      <w:rFonts w:cs="Arial"/>
                      <w:sz w:val="12"/>
                      <w:szCs w:val="14"/>
                    </w:rPr>
                    <w:t>450</w:t>
                  </w:r>
                </w:p>
              </w:tc>
              <w:tc>
                <w:tcPr>
                  <w:tcW w:w="400" w:type="pct"/>
                  <w:shd w:val="clear" w:color="auto" w:fill="E5B8B7"/>
                </w:tcPr>
                <w:p w14:paraId="731923D1" w14:textId="77777777" w:rsidR="007C6279" w:rsidRPr="00F63586" w:rsidRDefault="007C6279" w:rsidP="00F63586">
                  <w:pPr>
                    <w:jc w:val="center"/>
                    <w:rPr>
                      <w:rFonts w:cs="Arial"/>
                      <w:bCs/>
                      <w:sz w:val="12"/>
                      <w:szCs w:val="14"/>
                    </w:rPr>
                  </w:pPr>
                  <w:r w:rsidRPr="00F63586">
                    <w:rPr>
                      <w:rFonts w:cs="Arial"/>
                      <w:sz w:val="12"/>
                      <w:szCs w:val="14"/>
                    </w:rPr>
                    <w:t>2016</w:t>
                  </w:r>
                </w:p>
              </w:tc>
            </w:tr>
            <w:tr w:rsidR="00F63586" w:rsidRPr="00403DF2" w14:paraId="1B702E94" w14:textId="77777777" w:rsidTr="00F63586">
              <w:trPr>
                <w:trHeight w:val="227"/>
              </w:trPr>
              <w:tc>
                <w:tcPr>
                  <w:tcW w:w="852" w:type="pct"/>
                  <w:tcBorders>
                    <w:left w:val="single" w:sz="4" w:space="0" w:color="FFFFFF"/>
                  </w:tcBorders>
                  <w:shd w:val="clear" w:color="auto" w:fill="C0504D"/>
                </w:tcPr>
                <w:p w14:paraId="171C3DA2"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Mineral Resources</w:t>
                  </w:r>
                </w:p>
              </w:tc>
              <w:tc>
                <w:tcPr>
                  <w:tcW w:w="1222" w:type="pct"/>
                  <w:shd w:val="clear" w:color="auto" w:fill="F2DBDB"/>
                </w:tcPr>
                <w:p w14:paraId="31753C21" w14:textId="77777777" w:rsidR="007C6279" w:rsidRPr="00F63586" w:rsidRDefault="007C6279" w:rsidP="00F63586">
                  <w:pPr>
                    <w:jc w:val="left"/>
                    <w:rPr>
                      <w:rFonts w:cs="Arial"/>
                      <w:sz w:val="12"/>
                      <w:szCs w:val="14"/>
                    </w:rPr>
                  </w:pPr>
                  <w:r w:rsidRPr="00F63586">
                    <w:rPr>
                      <w:rFonts w:cs="Arial"/>
                      <w:sz w:val="12"/>
                      <w:szCs w:val="14"/>
                    </w:rPr>
                    <w:t xml:space="preserve">Wodgina mine </w:t>
                  </w:r>
                  <w:r w:rsidRPr="00F63586">
                    <w:rPr>
                      <w:rFonts w:cs="Arial"/>
                      <w:bCs/>
                      <w:sz w:val="12"/>
                      <w:szCs w:val="14"/>
                    </w:rPr>
                    <w:t>[care and maintenance]</w:t>
                  </w:r>
                </w:p>
              </w:tc>
              <w:tc>
                <w:tcPr>
                  <w:tcW w:w="865" w:type="pct"/>
                  <w:shd w:val="clear" w:color="auto" w:fill="F2DBDB"/>
                </w:tcPr>
                <w:p w14:paraId="79909461" w14:textId="77777777" w:rsidR="007C6279" w:rsidRPr="00F63586" w:rsidRDefault="007C6279" w:rsidP="00F63586">
                  <w:pPr>
                    <w:jc w:val="left"/>
                    <w:rPr>
                      <w:rFonts w:cs="Arial"/>
                      <w:bCs/>
                      <w:color w:val="548DD4"/>
                      <w:sz w:val="12"/>
                      <w:szCs w:val="14"/>
                    </w:rPr>
                  </w:pPr>
                  <w:r w:rsidRPr="00F63586">
                    <w:rPr>
                      <w:rFonts w:cs="Arial"/>
                      <w:bCs/>
                      <w:sz w:val="12"/>
                      <w:szCs w:val="14"/>
                    </w:rPr>
                    <w:t>Lithium concentrate</w:t>
                  </w:r>
                </w:p>
              </w:tc>
              <w:tc>
                <w:tcPr>
                  <w:tcW w:w="798" w:type="pct"/>
                  <w:shd w:val="clear" w:color="auto" w:fill="F2DBDB"/>
                </w:tcPr>
                <w:p w14:paraId="3A9937A3" w14:textId="77777777" w:rsidR="007C6279" w:rsidRPr="00F63586" w:rsidRDefault="007C6279" w:rsidP="00F63586">
                  <w:pPr>
                    <w:jc w:val="left"/>
                    <w:rPr>
                      <w:rFonts w:cs="Arial"/>
                      <w:sz w:val="12"/>
                      <w:szCs w:val="14"/>
                    </w:rPr>
                  </w:pPr>
                  <w:r w:rsidRPr="00F63586">
                    <w:rPr>
                      <w:rFonts w:cs="Arial"/>
                      <w:sz w:val="12"/>
                      <w:szCs w:val="14"/>
                    </w:rPr>
                    <w:t>Pilbara</w:t>
                  </w:r>
                </w:p>
              </w:tc>
              <w:tc>
                <w:tcPr>
                  <w:tcW w:w="399" w:type="pct"/>
                  <w:shd w:val="clear" w:color="auto" w:fill="F2DBDB"/>
                </w:tcPr>
                <w:p w14:paraId="22F83F5C" w14:textId="77777777" w:rsidR="007C6279" w:rsidRPr="00F63586" w:rsidRDefault="007C6279" w:rsidP="00F63586">
                  <w:pPr>
                    <w:jc w:val="center"/>
                    <w:rPr>
                      <w:rFonts w:cs="Arial"/>
                      <w:sz w:val="12"/>
                      <w:szCs w:val="14"/>
                    </w:rPr>
                  </w:pPr>
                  <w:r w:rsidRPr="00F63586">
                    <w:rPr>
                      <w:rFonts w:cs="Arial"/>
                      <w:sz w:val="12"/>
                      <w:szCs w:val="14"/>
                    </w:rPr>
                    <w:t>610</w:t>
                  </w:r>
                </w:p>
              </w:tc>
              <w:tc>
                <w:tcPr>
                  <w:tcW w:w="464" w:type="pct"/>
                  <w:shd w:val="clear" w:color="auto" w:fill="F2DBDB"/>
                </w:tcPr>
                <w:p w14:paraId="28A3696A" w14:textId="77777777" w:rsidR="007C6279" w:rsidRPr="00F63586" w:rsidRDefault="007C6279" w:rsidP="00F63586">
                  <w:pPr>
                    <w:jc w:val="center"/>
                    <w:rPr>
                      <w:rFonts w:cs="Arial"/>
                      <w:sz w:val="12"/>
                      <w:szCs w:val="14"/>
                    </w:rPr>
                  </w:pPr>
                  <w:r w:rsidRPr="00F63586">
                    <w:rPr>
                      <w:rFonts w:cs="Arial"/>
                      <w:sz w:val="12"/>
                      <w:szCs w:val="14"/>
                    </w:rPr>
                    <w:t>750</w:t>
                  </w:r>
                </w:p>
              </w:tc>
              <w:tc>
                <w:tcPr>
                  <w:tcW w:w="400" w:type="pct"/>
                  <w:shd w:val="clear" w:color="auto" w:fill="F2DBDB"/>
                </w:tcPr>
                <w:p w14:paraId="200FDBCE" w14:textId="77777777" w:rsidR="007C6279" w:rsidRPr="00F63586" w:rsidRDefault="007C6279" w:rsidP="00F63586">
                  <w:pPr>
                    <w:jc w:val="center"/>
                    <w:rPr>
                      <w:rFonts w:cs="Arial"/>
                      <w:sz w:val="12"/>
                      <w:szCs w:val="14"/>
                    </w:rPr>
                  </w:pPr>
                  <w:r w:rsidRPr="00F63586">
                    <w:rPr>
                      <w:rFonts w:cs="Arial"/>
                      <w:sz w:val="12"/>
                      <w:szCs w:val="14"/>
                    </w:rPr>
                    <w:t>2017</w:t>
                  </w:r>
                </w:p>
              </w:tc>
            </w:tr>
            <w:tr w:rsidR="00F63586" w:rsidRPr="00403DF2" w14:paraId="68B619F3" w14:textId="77777777" w:rsidTr="00F63586">
              <w:trPr>
                <w:trHeight w:val="227"/>
              </w:trPr>
              <w:tc>
                <w:tcPr>
                  <w:tcW w:w="852" w:type="pct"/>
                  <w:tcBorders>
                    <w:left w:val="single" w:sz="4" w:space="0" w:color="FFFFFF"/>
                  </w:tcBorders>
                  <w:shd w:val="clear" w:color="auto" w:fill="C0504D"/>
                </w:tcPr>
                <w:p w14:paraId="39B794D8"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Pilbara Minerals</w:t>
                  </w:r>
                </w:p>
              </w:tc>
              <w:tc>
                <w:tcPr>
                  <w:tcW w:w="1222" w:type="pct"/>
                  <w:shd w:val="clear" w:color="auto" w:fill="E5B8B7"/>
                </w:tcPr>
                <w:p w14:paraId="52D5FB55" w14:textId="77777777" w:rsidR="007C6279" w:rsidRPr="00F63586" w:rsidRDefault="007C6279" w:rsidP="00F63586">
                  <w:pPr>
                    <w:jc w:val="left"/>
                    <w:rPr>
                      <w:rFonts w:cs="Arial"/>
                      <w:bCs/>
                      <w:sz w:val="12"/>
                      <w:szCs w:val="14"/>
                    </w:rPr>
                  </w:pPr>
                  <w:r w:rsidRPr="00F63586">
                    <w:rPr>
                      <w:rFonts w:cs="Arial"/>
                      <w:bCs/>
                      <w:sz w:val="12"/>
                      <w:szCs w:val="14"/>
                    </w:rPr>
                    <w:t>Pilgangoora mine (stage 1)</w:t>
                  </w:r>
                </w:p>
              </w:tc>
              <w:tc>
                <w:tcPr>
                  <w:tcW w:w="865" w:type="pct"/>
                  <w:shd w:val="clear" w:color="auto" w:fill="E5B8B7"/>
                </w:tcPr>
                <w:p w14:paraId="7617D60D" w14:textId="77777777" w:rsidR="007C6279" w:rsidRPr="00F63586" w:rsidRDefault="007C6279" w:rsidP="00F63586">
                  <w:pPr>
                    <w:jc w:val="left"/>
                    <w:rPr>
                      <w:rFonts w:cs="Arial"/>
                      <w:bCs/>
                      <w:color w:val="548DD4"/>
                      <w:sz w:val="12"/>
                      <w:szCs w:val="14"/>
                    </w:rPr>
                  </w:pPr>
                  <w:r w:rsidRPr="00F63586">
                    <w:rPr>
                      <w:rFonts w:cs="Arial"/>
                      <w:bCs/>
                      <w:sz w:val="12"/>
                      <w:szCs w:val="14"/>
                    </w:rPr>
                    <w:t>Lithium concentrate</w:t>
                  </w:r>
                </w:p>
              </w:tc>
              <w:tc>
                <w:tcPr>
                  <w:tcW w:w="798" w:type="pct"/>
                  <w:shd w:val="clear" w:color="auto" w:fill="E5B8B7"/>
                </w:tcPr>
                <w:p w14:paraId="0B7B9953" w14:textId="77777777" w:rsidR="007C6279" w:rsidRPr="00F63586" w:rsidRDefault="007C6279" w:rsidP="00F63586">
                  <w:pPr>
                    <w:jc w:val="left"/>
                    <w:rPr>
                      <w:rFonts w:cs="Arial"/>
                      <w:sz w:val="12"/>
                      <w:szCs w:val="14"/>
                    </w:rPr>
                  </w:pPr>
                  <w:r w:rsidRPr="00F63586">
                    <w:rPr>
                      <w:rFonts w:cs="Arial"/>
                      <w:bCs/>
                      <w:sz w:val="12"/>
                      <w:szCs w:val="14"/>
                    </w:rPr>
                    <w:t>Pilbara</w:t>
                  </w:r>
                </w:p>
              </w:tc>
              <w:tc>
                <w:tcPr>
                  <w:tcW w:w="399" w:type="pct"/>
                  <w:shd w:val="clear" w:color="auto" w:fill="E5B8B7"/>
                </w:tcPr>
                <w:p w14:paraId="1FB5CE82" w14:textId="77777777" w:rsidR="007C6279" w:rsidRPr="00F63586" w:rsidRDefault="007C6279" w:rsidP="00F63586">
                  <w:pPr>
                    <w:jc w:val="center"/>
                    <w:rPr>
                      <w:rFonts w:cs="Arial"/>
                      <w:sz w:val="12"/>
                      <w:szCs w:val="14"/>
                    </w:rPr>
                  </w:pPr>
                  <w:r w:rsidRPr="00F63586">
                    <w:rPr>
                      <w:rFonts w:cs="Arial"/>
                      <w:bCs/>
                      <w:sz w:val="12"/>
                      <w:szCs w:val="14"/>
                    </w:rPr>
                    <w:t>274</w:t>
                  </w:r>
                </w:p>
              </w:tc>
              <w:tc>
                <w:tcPr>
                  <w:tcW w:w="464" w:type="pct"/>
                  <w:shd w:val="clear" w:color="auto" w:fill="E5B8B7"/>
                </w:tcPr>
                <w:p w14:paraId="1CC02466" w14:textId="77777777" w:rsidR="007C6279" w:rsidRPr="00F63586" w:rsidRDefault="007C6279" w:rsidP="00F63586">
                  <w:pPr>
                    <w:jc w:val="center"/>
                    <w:rPr>
                      <w:rFonts w:cs="Arial"/>
                      <w:bCs/>
                      <w:sz w:val="12"/>
                      <w:szCs w:val="14"/>
                    </w:rPr>
                  </w:pPr>
                  <w:r w:rsidRPr="00F63586">
                    <w:rPr>
                      <w:rFonts w:cs="Arial"/>
                      <w:bCs/>
                      <w:sz w:val="12"/>
                      <w:szCs w:val="14"/>
                    </w:rPr>
                    <w:t>320</w:t>
                  </w:r>
                </w:p>
              </w:tc>
              <w:tc>
                <w:tcPr>
                  <w:tcW w:w="400" w:type="pct"/>
                  <w:shd w:val="clear" w:color="auto" w:fill="E5B8B7"/>
                </w:tcPr>
                <w:p w14:paraId="1241285C" w14:textId="77777777" w:rsidR="007C6279" w:rsidRPr="00F63586" w:rsidRDefault="007C6279" w:rsidP="00F63586">
                  <w:pPr>
                    <w:jc w:val="center"/>
                    <w:rPr>
                      <w:rFonts w:cs="Arial"/>
                      <w:bCs/>
                      <w:sz w:val="12"/>
                      <w:szCs w:val="14"/>
                    </w:rPr>
                  </w:pPr>
                  <w:r w:rsidRPr="00F63586">
                    <w:rPr>
                      <w:rFonts w:cs="Arial"/>
                      <w:bCs/>
                      <w:sz w:val="12"/>
                      <w:szCs w:val="14"/>
                    </w:rPr>
                    <w:t>2018</w:t>
                  </w:r>
                </w:p>
              </w:tc>
            </w:tr>
            <w:tr w:rsidR="00F63586" w:rsidRPr="00403DF2" w14:paraId="28942644" w14:textId="77777777" w:rsidTr="00F63586">
              <w:trPr>
                <w:trHeight w:val="227"/>
              </w:trPr>
              <w:tc>
                <w:tcPr>
                  <w:tcW w:w="852" w:type="pct"/>
                  <w:tcBorders>
                    <w:left w:val="single" w:sz="4" w:space="0" w:color="FFFFFF"/>
                  </w:tcBorders>
                  <w:shd w:val="clear" w:color="auto" w:fill="C0504D"/>
                </w:tcPr>
                <w:p w14:paraId="2D0E78E3"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Altura Mining</w:t>
                  </w:r>
                </w:p>
              </w:tc>
              <w:tc>
                <w:tcPr>
                  <w:tcW w:w="1222" w:type="pct"/>
                  <w:shd w:val="clear" w:color="auto" w:fill="F2DBDB"/>
                </w:tcPr>
                <w:p w14:paraId="1F406EBD" w14:textId="77777777" w:rsidR="007C6279" w:rsidRPr="00F63586" w:rsidRDefault="007C6279" w:rsidP="00F63586">
                  <w:pPr>
                    <w:jc w:val="left"/>
                    <w:rPr>
                      <w:rFonts w:cs="Arial"/>
                      <w:bCs/>
                      <w:sz w:val="12"/>
                      <w:szCs w:val="14"/>
                    </w:rPr>
                  </w:pPr>
                  <w:r w:rsidRPr="00F63586">
                    <w:rPr>
                      <w:rFonts w:cs="Arial"/>
                      <w:bCs/>
                      <w:sz w:val="12"/>
                      <w:szCs w:val="14"/>
                    </w:rPr>
                    <w:t>Pilgangoora mine (stage 1)</w:t>
                  </w:r>
                </w:p>
              </w:tc>
              <w:tc>
                <w:tcPr>
                  <w:tcW w:w="865" w:type="pct"/>
                  <w:shd w:val="clear" w:color="auto" w:fill="F2DBDB"/>
                </w:tcPr>
                <w:p w14:paraId="05E50D13" w14:textId="77777777" w:rsidR="007C6279" w:rsidRPr="00F63586" w:rsidRDefault="007C6279" w:rsidP="00F63586">
                  <w:pPr>
                    <w:jc w:val="left"/>
                    <w:rPr>
                      <w:rFonts w:cs="Arial"/>
                      <w:bCs/>
                      <w:color w:val="548DD4"/>
                      <w:sz w:val="12"/>
                      <w:szCs w:val="14"/>
                    </w:rPr>
                  </w:pPr>
                  <w:r w:rsidRPr="00F63586">
                    <w:rPr>
                      <w:rFonts w:cs="Arial"/>
                      <w:bCs/>
                      <w:sz w:val="12"/>
                      <w:szCs w:val="14"/>
                    </w:rPr>
                    <w:t>Lithium concentrate</w:t>
                  </w:r>
                </w:p>
              </w:tc>
              <w:tc>
                <w:tcPr>
                  <w:tcW w:w="798" w:type="pct"/>
                  <w:shd w:val="clear" w:color="auto" w:fill="F2DBDB"/>
                </w:tcPr>
                <w:p w14:paraId="3F333F29" w14:textId="77777777" w:rsidR="007C6279" w:rsidRPr="00F63586" w:rsidRDefault="007C6279" w:rsidP="00F63586">
                  <w:pPr>
                    <w:jc w:val="left"/>
                    <w:rPr>
                      <w:rFonts w:cs="Arial"/>
                      <w:sz w:val="12"/>
                      <w:szCs w:val="14"/>
                    </w:rPr>
                  </w:pPr>
                  <w:r w:rsidRPr="00F63586">
                    <w:rPr>
                      <w:rFonts w:cs="Arial"/>
                      <w:bCs/>
                      <w:sz w:val="12"/>
                      <w:szCs w:val="14"/>
                    </w:rPr>
                    <w:t>Pilbara</w:t>
                  </w:r>
                </w:p>
              </w:tc>
              <w:tc>
                <w:tcPr>
                  <w:tcW w:w="399" w:type="pct"/>
                  <w:shd w:val="clear" w:color="auto" w:fill="F2DBDB"/>
                </w:tcPr>
                <w:p w14:paraId="2C0AD6A5" w14:textId="77777777" w:rsidR="007C6279" w:rsidRPr="00F63586" w:rsidRDefault="007C6279" w:rsidP="00F63586">
                  <w:pPr>
                    <w:jc w:val="center"/>
                    <w:rPr>
                      <w:rFonts w:cs="Arial"/>
                      <w:sz w:val="12"/>
                      <w:szCs w:val="14"/>
                    </w:rPr>
                  </w:pPr>
                  <w:r w:rsidRPr="00F63586">
                    <w:rPr>
                      <w:rFonts w:cs="Arial"/>
                      <w:sz w:val="12"/>
                      <w:szCs w:val="14"/>
                    </w:rPr>
                    <w:t>140</w:t>
                  </w:r>
                </w:p>
              </w:tc>
              <w:tc>
                <w:tcPr>
                  <w:tcW w:w="464" w:type="pct"/>
                  <w:shd w:val="clear" w:color="auto" w:fill="F2DBDB"/>
                </w:tcPr>
                <w:p w14:paraId="36D94E1C" w14:textId="77777777" w:rsidR="007C6279" w:rsidRPr="00F63586" w:rsidRDefault="007C6279" w:rsidP="00F63586">
                  <w:pPr>
                    <w:jc w:val="center"/>
                    <w:rPr>
                      <w:rFonts w:cs="Arial"/>
                      <w:bCs/>
                      <w:sz w:val="12"/>
                      <w:szCs w:val="14"/>
                    </w:rPr>
                  </w:pPr>
                  <w:r w:rsidRPr="00F63586">
                    <w:rPr>
                      <w:rFonts w:cs="Arial"/>
                      <w:sz w:val="12"/>
                      <w:szCs w:val="14"/>
                    </w:rPr>
                    <w:t>220</w:t>
                  </w:r>
                </w:p>
              </w:tc>
              <w:tc>
                <w:tcPr>
                  <w:tcW w:w="400" w:type="pct"/>
                  <w:shd w:val="clear" w:color="auto" w:fill="F2DBDB"/>
                </w:tcPr>
                <w:p w14:paraId="49965DAA" w14:textId="77777777" w:rsidR="007C6279" w:rsidRPr="00F63586" w:rsidRDefault="007C6279" w:rsidP="00F63586">
                  <w:pPr>
                    <w:jc w:val="center"/>
                    <w:rPr>
                      <w:rFonts w:cs="Arial"/>
                      <w:bCs/>
                      <w:sz w:val="12"/>
                      <w:szCs w:val="14"/>
                    </w:rPr>
                  </w:pPr>
                  <w:r w:rsidRPr="00F63586">
                    <w:rPr>
                      <w:rFonts w:cs="Arial"/>
                      <w:sz w:val="12"/>
                      <w:szCs w:val="14"/>
                    </w:rPr>
                    <w:t>2018</w:t>
                  </w:r>
                </w:p>
              </w:tc>
            </w:tr>
            <w:tr w:rsidR="00F63586" w:rsidRPr="00403DF2" w14:paraId="30F65BCF" w14:textId="77777777" w:rsidTr="00F63586">
              <w:trPr>
                <w:trHeight w:val="227"/>
              </w:trPr>
              <w:tc>
                <w:tcPr>
                  <w:tcW w:w="852" w:type="pct"/>
                  <w:tcBorders>
                    <w:left w:val="single" w:sz="4" w:space="0" w:color="FFFFFF"/>
                  </w:tcBorders>
                  <w:shd w:val="clear" w:color="auto" w:fill="C0504D"/>
                </w:tcPr>
                <w:p w14:paraId="568CBA92" w14:textId="77777777" w:rsidR="007C6279" w:rsidRPr="00F63586" w:rsidRDefault="007C6279" w:rsidP="00F63586">
                  <w:pPr>
                    <w:jc w:val="left"/>
                    <w:rPr>
                      <w:rFonts w:cs="Arial"/>
                      <w:b/>
                      <w:bCs/>
                      <w:color w:val="548DD4"/>
                      <w:sz w:val="12"/>
                      <w:szCs w:val="14"/>
                    </w:rPr>
                  </w:pPr>
                  <w:r w:rsidRPr="00F63586">
                    <w:rPr>
                      <w:rFonts w:cs="Arial"/>
                      <w:bCs/>
                      <w:color w:val="FFFFFF"/>
                      <w:sz w:val="12"/>
                      <w:szCs w:val="14"/>
                    </w:rPr>
                    <w:t>Alita Resources</w:t>
                  </w:r>
                </w:p>
              </w:tc>
              <w:tc>
                <w:tcPr>
                  <w:tcW w:w="1222" w:type="pct"/>
                  <w:shd w:val="clear" w:color="auto" w:fill="E5B8B7"/>
                </w:tcPr>
                <w:p w14:paraId="6FDE51E5" w14:textId="77777777" w:rsidR="007C6279" w:rsidRPr="00F63586" w:rsidRDefault="007C6279" w:rsidP="00F63586">
                  <w:pPr>
                    <w:jc w:val="left"/>
                    <w:rPr>
                      <w:rFonts w:cs="Arial"/>
                      <w:bCs/>
                      <w:sz w:val="12"/>
                      <w:szCs w:val="14"/>
                    </w:rPr>
                  </w:pPr>
                  <w:r w:rsidRPr="00F63586">
                    <w:rPr>
                      <w:rFonts w:cs="Arial"/>
                      <w:bCs/>
                      <w:sz w:val="12"/>
                      <w:szCs w:val="14"/>
                    </w:rPr>
                    <w:t>Bald Hill [care and maintenance]</w:t>
                  </w:r>
                </w:p>
              </w:tc>
              <w:tc>
                <w:tcPr>
                  <w:tcW w:w="865" w:type="pct"/>
                  <w:shd w:val="clear" w:color="auto" w:fill="E5B8B7"/>
                </w:tcPr>
                <w:p w14:paraId="3EF8BCBF" w14:textId="77777777" w:rsidR="007C6279" w:rsidRPr="00F63586" w:rsidRDefault="007C6279" w:rsidP="00F63586">
                  <w:pPr>
                    <w:jc w:val="left"/>
                    <w:rPr>
                      <w:rFonts w:cs="Arial"/>
                      <w:bCs/>
                      <w:sz w:val="12"/>
                      <w:szCs w:val="14"/>
                    </w:rPr>
                  </w:pPr>
                  <w:r w:rsidRPr="00F63586">
                    <w:rPr>
                      <w:rFonts w:cs="Arial"/>
                      <w:bCs/>
                      <w:sz w:val="12"/>
                      <w:szCs w:val="14"/>
                    </w:rPr>
                    <w:t>Lithium concentrate</w:t>
                  </w:r>
                </w:p>
              </w:tc>
              <w:tc>
                <w:tcPr>
                  <w:tcW w:w="798" w:type="pct"/>
                  <w:shd w:val="clear" w:color="auto" w:fill="E5B8B7"/>
                </w:tcPr>
                <w:p w14:paraId="676DBD48" w14:textId="77777777" w:rsidR="007C6279" w:rsidRPr="00F63586" w:rsidRDefault="007C6279" w:rsidP="00F63586">
                  <w:pPr>
                    <w:jc w:val="left"/>
                    <w:rPr>
                      <w:rFonts w:cs="Arial"/>
                      <w:bCs/>
                      <w:sz w:val="12"/>
                      <w:szCs w:val="14"/>
                    </w:rPr>
                  </w:pPr>
                  <w:r w:rsidRPr="00F63586">
                    <w:rPr>
                      <w:rFonts w:cs="Arial"/>
                      <w:sz w:val="12"/>
                      <w:szCs w:val="14"/>
                    </w:rPr>
                    <w:t>Goldfields-Esperance</w:t>
                  </w:r>
                </w:p>
              </w:tc>
              <w:tc>
                <w:tcPr>
                  <w:tcW w:w="399" w:type="pct"/>
                  <w:shd w:val="clear" w:color="auto" w:fill="E5B8B7"/>
                </w:tcPr>
                <w:p w14:paraId="78036173" w14:textId="77777777" w:rsidR="007C6279" w:rsidRPr="00F63586" w:rsidRDefault="007C6279" w:rsidP="00F63586">
                  <w:pPr>
                    <w:jc w:val="center"/>
                    <w:rPr>
                      <w:rFonts w:cs="Arial"/>
                      <w:sz w:val="12"/>
                      <w:szCs w:val="14"/>
                    </w:rPr>
                  </w:pPr>
                  <w:r w:rsidRPr="00F63586">
                    <w:rPr>
                      <w:rFonts w:cs="Arial"/>
                      <w:sz w:val="12"/>
                      <w:szCs w:val="14"/>
                    </w:rPr>
                    <w:t>42</w:t>
                  </w:r>
                </w:p>
              </w:tc>
              <w:tc>
                <w:tcPr>
                  <w:tcW w:w="464" w:type="pct"/>
                  <w:shd w:val="clear" w:color="auto" w:fill="E5B8B7"/>
                </w:tcPr>
                <w:p w14:paraId="34BE6101" w14:textId="77777777" w:rsidR="007C6279" w:rsidRPr="00F63586" w:rsidRDefault="007C6279" w:rsidP="00F63586">
                  <w:pPr>
                    <w:jc w:val="center"/>
                    <w:rPr>
                      <w:rFonts w:cs="Arial"/>
                      <w:sz w:val="12"/>
                      <w:szCs w:val="14"/>
                    </w:rPr>
                  </w:pPr>
                  <w:r w:rsidRPr="00F63586">
                    <w:rPr>
                      <w:rFonts w:cs="Arial"/>
                      <w:sz w:val="12"/>
                      <w:szCs w:val="14"/>
                    </w:rPr>
                    <w:t>155</w:t>
                  </w:r>
                </w:p>
              </w:tc>
              <w:tc>
                <w:tcPr>
                  <w:tcW w:w="400" w:type="pct"/>
                  <w:shd w:val="clear" w:color="auto" w:fill="E5B8B7"/>
                </w:tcPr>
                <w:p w14:paraId="069C3052" w14:textId="77777777" w:rsidR="007C6279" w:rsidRPr="00F63586" w:rsidRDefault="007C6279" w:rsidP="00F63586">
                  <w:pPr>
                    <w:jc w:val="center"/>
                    <w:rPr>
                      <w:rFonts w:cs="Arial"/>
                      <w:sz w:val="12"/>
                      <w:szCs w:val="14"/>
                    </w:rPr>
                  </w:pPr>
                  <w:r w:rsidRPr="00F63586">
                    <w:rPr>
                      <w:rFonts w:cs="Arial"/>
                      <w:sz w:val="12"/>
                      <w:szCs w:val="14"/>
                    </w:rPr>
                    <w:t>2018</w:t>
                  </w:r>
                </w:p>
              </w:tc>
            </w:tr>
            <w:tr w:rsidR="00F63586" w:rsidRPr="00403DF2" w14:paraId="314DB54C" w14:textId="77777777" w:rsidTr="00F63586">
              <w:trPr>
                <w:trHeight w:val="227"/>
              </w:trPr>
              <w:tc>
                <w:tcPr>
                  <w:tcW w:w="852" w:type="pct"/>
                  <w:tcBorders>
                    <w:left w:val="single" w:sz="4" w:space="0" w:color="FFFFFF"/>
                  </w:tcBorders>
                  <w:shd w:val="clear" w:color="auto" w:fill="C0504D"/>
                </w:tcPr>
                <w:p w14:paraId="762CD981" w14:textId="77777777" w:rsidR="007C6279" w:rsidRPr="00F63586" w:rsidRDefault="007C6279" w:rsidP="00F63586">
                  <w:pPr>
                    <w:jc w:val="left"/>
                    <w:rPr>
                      <w:rFonts w:cs="Arial"/>
                      <w:b/>
                      <w:bCs/>
                      <w:i/>
                      <w:color w:val="FFFFFF"/>
                      <w:sz w:val="12"/>
                      <w:szCs w:val="14"/>
                    </w:rPr>
                  </w:pPr>
                  <w:r w:rsidRPr="00F63586">
                    <w:rPr>
                      <w:rFonts w:cs="Arial"/>
                      <w:b/>
                      <w:bCs/>
                      <w:i/>
                      <w:color w:val="FFFFFF"/>
                      <w:sz w:val="14"/>
                      <w:szCs w:val="14"/>
                    </w:rPr>
                    <w:t>Nickel, cobalt</w:t>
                  </w:r>
                </w:p>
              </w:tc>
              <w:tc>
                <w:tcPr>
                  <w:tcW w:w="1222" w:type="pct"/>
                  <w:shd w:val="clear" w:color="auto" w:fill="F2DBDB"/>
                </w:tcPr>
                <w:p w14:paraId="31A12ABE" w14:textId="77777777" w:rsidR="007C6279" w:rsidRPr="00F63586" w:rsidRDefault="007C6279" w:rsidP="00F63586">
                  <w:pPr>
                    <w:jc w:val="left"/>
                    <w:rPr>
                      <w:rFonts w:cs="Arial"/>
                      <w:bCs/>
                      <w:sz w:val="12"/>
                      <w:szCs w:val="14"/>
                    </w:rPr>
                  </w:pPr>
                </w:p>
              </w:tc>
              <w:tc>
                <w:tcPr>
                  <w:tcW w:w="865" w:type="pct"/>
                  <w:shd w:val="clear" w:color="auto" w:fill="F2DBDB"/>
                </w:tcPr>
                <w:p w14:paraId="0EF17EB0" w14:textId="77777777" w:rsidR="007C6279" w:rsidRPr="00F63586" w:rsidRDefault="007C6279" w:rsidP="00F63586">
                  <w:pPr>
                    <w:jc w:val="left"/>
                    <w:rPr>
                      <w:rFonts w:cs="Arial"/>
                      <w:bCs/>
                      <w:sz w:val="12"/>
                      <w:szCs w:val="14"/>
                    </w:rPr>
                  </w:pPr>
                </w:p>
              </w:tc>
              <w:tc>
                <w:tcPr>
                  <w:tcW w:w="798" w:type="pct"/>
                  <w:shd w:val="clear" w:color="auto" w:fill="F2DBDB"/>
                </w:tcPr>
                <w:p w14:paraId="6195DA3C" w14:textId="77777777" w:rsidR="007C6279" w:rsidRPr="00F63586" w:rsidRDefault="007C6279" w:rsidP="00F63586">
                  <w:pPr>
                    <w:jc w:val="left"/>
                    <w:rPr>
                      <w:rFonts w:cs="Arial"/>
                      <w:bCs/>
                      <w:sz w:val="12"/>
                      <w:szCs w:val="14"/>
                    </w:rPr>
                  </w:pPr>
                </w:p>
              </w:tc>
              <w:tc>
                <w:tcPr>
                  <w:tcW w:w="399" w:type="pct"/>
                  <w:shd w:val="clear" w:color="auto" w:fill="F2DBDB"/>
                </w:tcPr>
                <w:p w14:paraId="4CE227C2" w14:textId="77777777" w:rsidR="007C6279" w:rsidRPr="00F63586" w:rsidRDefault="007C6279" w:rsidP="00F63586">
                  <w:pPr>
                    <w:jc w:val="center"/>
                    <w:rPr>
                      <w:rFonts w:cs="Arial"/>
                      <w:bCs/>
                      <w:sz w:val="12"/>
                      <w:szCs w:val="14"/>
                    </w:rPr>
                  </w:pPr>
                </w:p>
              </w:tc>
              <w:tc>
                <w:tcPr>
                  <w:tcW w:w="464" w:type="pct"/>
                  <w:shd w:val="clear" w:color="auto" w:fill="F2DBDB"/>
                </w:tcPr>
                <w:p w14:paraId="1B1C0FE6" w14:textId="77777777" w:rsidR="007C6279" w:rsidRPr="00F63586" w:rsidRDefault="007C6279" w:rsidP="00F63586">
                  <w:pPr>
                    <w:jc w:val="center"/>
                    <w:rPr>
                      <w:rFonts w:cs="Arial"/>
                      <w:bCs/>
                      <w:sz w:val="12"/>
                      <w:szCs w:val="14"/>
                    </w:rPr>
                  </w:pPr>
                </w:p>
              </w:tc>
              <w:tc>
                <w:tcPr>
                  <w:tcW w:w="400" w:type="pct"/>
                  <w:shd w:val="clear" w:color="auto" w:fill="F2DBDB"/>
                </w:tcPr>
                <w:p w14:paraId="1E9ABCE7" w14:textId="77777777" w:rsidR="007C6279" w:rsidRPr="00F63586" w:rsidRDefault="007C6279" w:rsidP="00F63586">
                  <w:pPr>
                    <w:jc w:val="center"/>
                    <w:rPr>
                      <w:rFonts w:cs="Arial"/>
                      <w:bCs/>
                      <w:sz w:val="12"/>
                      <w:szCs w:val="14"/>
                    </w:rPr>
                  </w:pPr>
                </w:p>
              </w:tc>
            </w:tr>
            <w:tr w:rsidR="00F63586" w:rsidRPr="00403DF2" w14:paraId="79F84EE2" w14:textId="77777777" w:rsidTr="00F63586">
              <w:trPr>
                <w:trHeight w:val="227"/>
              </w:trPr>
              <w:tc>
                <w:tcPr>
                  <w:tcW w:w="852" w:type="pct"/>
                  <w:tcBorders>
                    <w:left w:val="single" w:sz="4" w:space="0" w:color="FFFFFF"/>
                  </w:tcBorders>
                  <w:shd w:val="clear" w:color="auto" w:fill="C0504D"/>
                </w:tcPr>
                <w:p w14:paraId="0D30F41D"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BHP</w:t>
                  </w:r>
                </w:p>
              </w:tc>
              <w:tc>
                <w:tcPr>
                  <w:tcW w:w="1222" w:type="pct"/>
                  <w:shd w:val="clear" w:color="auto" w:fill="E5B8B7"/>
                </w:tcPr>
                <w:p w14:paraId="2A11A54C" w14:textId="77777777" w:rsidR="007C6279" w:rsidRPr="00F63586" w:rsidRDefault="007C6279" w:rsidP="00F63586">
                  <w:pPr>
                    <w:jc w:val="left"/>
                    <w:rPr>
                      <w:rFonts w:cs="Arial"/>
                      <w:sz w:val="12"/>
                      <w:szCs w:val="14"/>
                    </w:rPr>
                  </w:pPr>
                  <w:r w:rsidRPr="00F63586">
                    <w:rPr>
                      <w:rFonts w:cs="Arial"/>
                      <w:bCs/>
                      <w:sz w:val="12"/>
                      <w:szCs w:val="14"/>
                    </w:rPr>
                    <w:t>Nickel West mines and plants</w:t>
                  </w:r>
                </w:p>
              </w:tc>
              <w:tc>
                <w:tcPr>
                  <w:tcW w:w="865" w:type="pct"/>
                  <w:shd w:val="clear" w:color="auto" w:fill="E5B8B7"/>
                </w:tcPr>
                <w:p w14:paraId="01FF2742" w14:textId="77777777" w:rsidR="007C6279" w:rsidRPr="00F63586" w:rsidRDefault="007C6279" w:rsidP="00F63586">
                  <w:pPr>
                    <w:jc w:val="left"/>
                    <w:rPr>
                      <w:rFonts w:cs="Arial"/>
                      <w:sz w:val="12"/>
                      <w:szCs w:val="14"/>
                    </w:rPr>
                  </w:pPr>
                  <w:r w:rsidRPr="00F63586">
                    <w:rPr>
                      <w:rFonts w:cs="Arial"/>
                      <w:bCs/>
                      <w:sz w:val="12"/>
                      <w:szCs w:val="14"/>
                    </w:rPr>
                    <w:t>Nickel concentrate and other*</w:t>
                  </w:r>
                </w:p>
              </w:tc>
              <w:tc>
                <w:tcPr>
                  <w:tcW w:w="798" w:type="pct"/>
                  <w:shd w:val="clear" w:color="auto" w:fill="E5B8B7"/>
                </w:tcPr>
                <w:p w14:paraId="3491CFDE"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E5B8B7"/>
                </w:tcPr>
                <w:p w14:paraId="58E036AA" w14:textId="77777777" w:rsidR="007C6279" w:rsidRPr="00F63586" w:rsidRDefault="007C6279" w:rsidP="00F63586">
                  <w:pPr>
                    <w:jc w:val="center"/>
                    <w:rPr>
                      <w:rFonts w:cs="Arial"/>
                      <w:sz w:val="12"/>
                      <w:szCs w:val="14"/>
                    </w:rPr>
                  </w:pPr>
                  <w:r w:rsidRPr="00F63586">
                    <w:rPr>
                      <w:rFonts w:cs="Arial"/>
                      <w:sz w:val="12"/>
                      <w:szCs w:val="14"/>
                    </w:rPr>
                    <w:t>n.a.</w:t>
                  </w:r>
                </w:p>
              </w:tc>
              <w:tc>
                <w:tcPr>
                  <w:tcW w:w="464" w:type="pct"/>
                  <w:shd w:val="clear" w:color="auto" w:fill="E5B8B7"/>
                </w:tcPr>
                <w:p w14:paraId="2C9DFF63" w14:textId="77777777" w:rsidR="007C6279" w:rsidRPr="00F63586" w:rsidRDefault="007C6279" w:rsidP="00F63586">
                  <w:pPr>
                    <w:jc w:val="center"/>
                    <w:rPr>
                      <w:rFonts w:cs="Arial"/>
                      <w:sz w:val="12"/>
                      <w:szCs w:val="14"/>
                    </w:rPr>
                  </w:pPr>
                  <w:r w:rsidRPr="00F63586">
                    <w:rPr>
                      <w:rFonts w:cs="Arial"/>
                      <w:bCs/>
                      <w:sz w:val="12"/>
                      <w:szCs w:val="14"/>
                    </w:rPr>
                    <w:t>100</w:t>
                  </w:r>
                </w:p>
              </w:tc>
              <w:tc>
                <w:tcPr>
                  <w:tcW w:w="400" w:type="pct"/>
                  <w:shd w:val="clear" w:color="auto" w:fill="E5B8B7"/>
                </w:tcPr>
                <w:p w14:paraId="445B3475" w14:textId="77777777" w:rsidR="007C6279" w:rsidRPr="00F63586" w:rsidRDefault="007C6279" w:rsidP="00F63586">
                  <w:pPr>
                    <w:jc w:val="center"/>
                    <w:rPr>
                      <w:rFonts w:cs="Arial"/>
                      <w:sz w:val="12"/>
                      <w:szCs w:val="14"/>
                    </w:rPr>
                  </w:pPr>
                  <w:r w:rsidRPr="00F63586">
                    <w:rPr>
                      <w:rFonts w:cs="Arial"/>
                      <w:bCs/>
                      <w:sz w:val="12"/>
                      <w:szCs w:val="14"/>
                    </w:rPr>
                    <w:t>1967</w:t>
                  </w:r>
                </w:p>
              </w:tc>
            </w:tr>
            <w:tr w:rsidR="00F63586" w:rsidRPr="00403DF2" w14:paraId="147FA230" w14:textId="77777777" w:rsidTr="00F63586">
              <w:trPr>
                <w:trHeight w:val="227"/>
              </w:trPr>
              <w:tc>
                <w:tcPr>
                  <w:tcW w:w="852" w:type="pct"/>
                  <w:tcBorders>
                    <w:left w:val="single" w:sz="4" w:space="0" w:color="FFFFFF"/>
                  </w:tcBorders>
                  <w:shd w:val="clear" w:color="auto" w:fill="C0504D"/>
                </w:tcPr>
                <w:p w14:paraId="45F720E6"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Glencore</w:t>
                  </w:r>
                </w:p>
              </w:tc>
              <w:tc>
                <w:tcPr>
                  <w:tcW w:w="1222" w:type="pct"/>
                  <w:shd w:val="clear" w:color="auto" w:fill="F2DBDB"/>
                </w:tcPr>
                <w:p w14:paraId="34B5E781" w14:textId="77777777" w:rsidR="007C6279" w:rsidRPr="00F63586" w:rsidRDefault="007C6279" w:rsidP="00F63586">
                  <w:pPr>
                    <w:jc w:val="left"/>
                    <w:rPr>
                      <w:rFonts w:cs="Arial"/>
                      <w:sz w:val="12"/>
                      <w:szCs w:val="14"/>
                    </w:rPr>
                  </w:pPr>
                  <w:r w:rsidRPr="00F63586">
                    <w:rPr>
                      <w:rFonts w:cs="Arial"/>
                      <w:sz w:val="12"/>
                      <w:szCs w:val="14"/>
                    </w:rPr>
                    <w:t>Murrin Murrin mine and plant</w:t>
                  </w:r>
                </w:p>
              </w:tc>
              <w:tc>
                <w:tcPr>
                  <w:tcW w:w="865" w:type="pct"/>
                  <w:shd w:val="clear" w:color="auto" w:fill="F2DBDB"/>
                </w:tcPr>
                <w:p w14:paraId="417F126F" w14:textId="77777777" w:rsidR="007C6279" w:rsidRPr="00F63586" w:rsidRDefault="007C6279" w:rsidP="00F63586">
                  <w:pPr>
                    <w:jc w:val="left"/>
                    <w:rPr>
                      <w:rFonts w:cs="Arial"/>
                      <w:sz w:val="12"/>
                      <w:szCs w:val="14"/>
                    </w:rPr>
                  </w:pPr>
                  <w:r w:rsidRPr="00F63586">
                    <w:rPr>
                      <w:rFonts w:cs="Arial"/>
                      <w:sz w:val="12"/>
                      <w:szCs w:val="14"/>
                    </w:rPr>
                    <w:t>Nickel briquettes, powder*</w:t>
                  </w:r>
                </w:p>
              </w:tc>
              <w:tc>
                <w:tcPr>
                  <w:tcW w:w="798" w:type="pct"/>
                  <w:shd w:val="clear" w:color="auto" w:fill="F2DBDB"/>
                </w:tcPr>
                <w:p w14:paraId="42F30C9B"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F2DBDB"/>
                </w:tcPr>
                <w:p w14:paraId="01377FD0" w14:textId="77777777" w:rsidR="007C6279" w:rsidRPr="00F63586" w:rsidRDefault="007C6279" w:rsidP="00F63586">
                  <w:pPr>
                    <w:jc w:val="center"/>
                    <w:rPr>
                      <w:rFonts w:cs="Arial"/>
                      <w:sz w:val="12"/>
                      <w:szCs w:val="14"/>
                    </w:rPr>
                  </w:pPr>
                  <w:r w:rsidRPr="00F63586">
                    <w:rPr>
                      <w:rFonts w:cs="Arial"/>
                      <w:sz w:val="12"/>
                      <w:szCs w:val="14"/>
                    </w:rPr>
                    <w:t>2,500</w:t>
                  </w:r>
                </w:p>
              </w:tc>
              <w:tc>
                <w:tcPr>
                  <w:tcW w:w="464" w:type="pct"/>
                  <w:shd w:val="clear" w:color="auto" w:fill="F2DBDB"/>
                </w:tcPr>
                <w:p w14:paraId="492EF872" w14:textId="77777777" w:rsidR="007C6279" w:rsidRPr="00F63586" w:rsidRDefault="007C6279" w:rsidP="00F63586">
                  <w:pPr>
                    <w:jc w:val="center"/>
                    <w:rPr>
                      <w:rFonts w:cs="Arial"/>
                      <w:sz w:val="12"/>
                      <w:szCs w:val="14"/>
                    </w:rPr>
                  </w:pPr>
                  <w:r w:rsidRPr="00F63586">
                    <w:rPr>
                      <w:rFonts w:cs="Arial"/>
                      <w:sz w:val="12"/>
                      <w:szCs w:val="14"/>
                    </w:rPr>
                    <w:t>45</w:t>
                  </w:r>
                </w:p>
              </w:tc>
              <w:tc>
                <w:tcPr>
                  <w:tcW w:w="400" w:type="pct"/>
                  <w:shd w:val="clear" w:color="auto" w:fill="F2DBDB"/>
                </w:tcPr>
                <w:p w14:paraId="29FE1BDC" w14:textId="77777777" w:rsidR="007C6279" w:rsidRPr="00F63586" w:rsidRDefault="007C6279" w:rsidP="00F63586">
                  <w:pPr>
                    <w:jc w:val="center"/>
                    <w:rPr>
                      <w:rFonts w:cs="Arial"/>
                      <w:sz w:val="12"/>
                      <w:szCs w:val="14"/>
                    </w:rPr>
                  </w:pPr>
                  <w:r w:rsidRPr="00F63586">
                    <w:rPr>
                      <w:rFonts w:cs="Arial"/>
                      <w:sz w:val="12"/>
                      <w:szCs w:val="14"/>
                    </w:rPr>
                    <w:t>1999</w:t>
                  </w:r>
                </w:p>
              </w:tc>
            </w:tr>
            <w:tr w:rsidR="00F63586" w:rsidRPr="00403DF2" w14:paraId="3FE9DF1C" w14:textId="77777777" w:rsidTr="00F63586">
              <w:trPr>
                <w:trHeight w:val="227"/>
              </w:trPr>
              <w:tc>
                <w:tcPr>
                  <w:tcW w:w="852" w:type="pct"/>
                  <w:tcBorders>
                    <w:left w:val="single" w:sz="4" w:space="0" w:color="FFFFFF"/>
                  </w:tcBorders>
                  <w:shd w:val="clear" w:color="auto" w:fill="C0504D"/>
                </w:tcPr>
                <w:p w14:paraId="7F7DC80D"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Western Areas</w:t>
                  </w:r>
                </w:p>
              </w:tc>
              <w:tc>
                <w:tcPr>
                  <w:tcW w:w="1222" w:type="pct"/>
                  <w:shd w:val="clear" w:color="auto" w:fill="E5B8B7"/>
                </w:tcPr>
                <w:p w14:paraId="177098E8" w14:textId="77777777" w:rsidR="007C6279" w:rsidRPr="00F63586" w:rsidRDefault="007C6279" w:rsidP="00F63586">
                  <w:pPr>
                    <w:jc w:val="left"/>
                    <w:rPr>
                      <w:rFonts w:cs="Arial"/>
                      <w:sz w:val="12"/>
                      <w:szCs w:val="14"/>
                    </w:rPr>
                  </w:pPr>
                  <w:r w:rsidRPr="00F63586">
                    <w:rPr>
                      <w:rFonts w:cs="Arial"/>
                      <w:sz w:val="12"/>
                      <w:szCs w:val="14"/>
                    </w:rPr>
                    <w:t>Forrestania mines and plant</w:t>
                  </w:r>
                </w:p>
              </w:tc>
              <w:tc>
                <w:tcPr>
                  <w:tcW w:w="865" w:type="pct"/>
                  <w:shd w:val="clear" w:color="auto" w:fill="E5B8B7"/>
                </w:tcPr>
                <w:p w14:paraId="55A6AB43" w14:textId="77777777" w:rsidR="007C6279" w:rsidRPr="00F63586" w:rsidRDefault="007C6279" w:rsidP="00F63586">
                  <w:pPr>
                    <w:jc w:val="left"/>
                    <w:rPr>
                      <w:rFonts w:cs="Arial"/>
                      <w:sz w:val="12"/>
                      <w:szCs w:val="14"/>
                    </w:rPr>
                  </w:pPr>
                  <w:r w:rsidRPr="00F63586">
                    <w:rPr>
                      <w:rFonts w:cs="Arial"/>
                      <w:sz w:val="12"/>
                      <w:szCs w:val="14"/>
                    </w:rPr>
                    <w:t>Nickel concentrate</w:t>
                  </w:r>
                </w:p>
              </w:tc>
              <w:tc>
                <w:tcPr>
                  <w:tcW w:w="798" w:type="pct"/>
                  <w:shd w:val="clear" w:color="auto" w:fill="E5B8B7"/>
                </w:tcPr>
                <w:p w14:paraId="7604FEE8"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E5B8B7"/>
                </w:tcPr>
                <w:p w14:paraId="38B3F4C1" w14:textId="77777777" w:rsidR="007C6279" w:rsidRPr="00F63586" w:rsidRDefault="007C6279" w:rsidP="00F63586">
                  <w:pPr>
                    <w:jc w:val="center"/>
                    <w:rPr>
                      <w:rFonts w:cs="Arial"/>
                      <w:sz w:val="12"/>
                      <w:szCs w:val="14"/>
                    </w:rPr>
                  </w:pPr>
                  <w:r w:rsidRPr="00F63586">
                    <w:rPr>
                      <w:rFonts w:cs="Arial"/>
                      <w:sz w:val="12"/>
                      <w:szCs w:val="14"/>
                    </w:rPr>
                    <w:t>387</w:t>
                  </w:r>
                </w:p>
              </w:tc>
              <w:tc>
                <w:tcPr>
                  <w:tcW w:w="464" w:type="pct"/>
                  <w:shd w:val="clear" w:color="auto" w:fill="E5B8B7"/>
                </w:tcPr>
                <w:p w14:paraId="6AC16E4C" w14:textId="77777777" w:rsidR="007C6279" w:rsidRPr="00F63586" w:rsidRDefault="007C6279" w:rsidP="00F63586">
                  <w:pPr>
                    <w:jc w:val="center"/>
                    <w:rPr>
                      <w:rFonts w:cs="Arial"/>
                      <w:sz w:val="12"/>
                      <w:szCs w:val="14"/>
                    </w:rPr>
                  </w:pPr>
                  <w:r w:rsidRPr="00F63586">
                    <w:rPr>
                      <w:rFonts w:cs="Arial"/>
                      <w:sz w:val="12"/>
                      <w:szCs w:val="14"/>
                    </w:rPr>
                    <w:t>25</w:t>
                  </w:r>
                </w:p>
              </w:tc>
              <w:tc>
                <w:tcPr>
                  <w:tcW w:w="400" w:type="pct"/>
                  <w:shd w:val="clear" w:color="auto" w:fill="E5B8B7"/>
                </w:tcPr>
                <w:p w14:paraId="19B13FD0" w14:textId="77777777" w:rsidR="007C6279" w:rsidRPr="00F63586" w:rsidRDefault="007C6279" w:rsidP="00F63586">
                  <w:pPr>
                    <w:jc w:val="center"/>
                    <w:rPr>
                      <w:rFonts w:cs="Arial"/>
                      <w:sz w:val="12"/>
                      <w:szCs w:val="14"/>
                    </w:rPr>
                  </w:pPr>
                  <w:r w:rsidRPr="00F63586">
                    <w:rPr>
                      <w:rFonts w:cs="Arial"/>
                      <w:sz w:val="12"/>
                      <w:szCs w:val="14"/>
                    </w:rPr>
                    <w:t>2006</w:t>
                  </w:r>
                </w:p>
              </w:tc>
            </w:tr>
            <w:tr w:rsidR="00F63586" w:rsidRPr="00403DF2" w14:paraId="740C8645" w14:textId="77777777" w:rsidTr="00F63586">
              <w:trPr>
                <w:trHeight w:val="227"/>
              </w:trPr>
              <w:tc>
                <w:tcPr>
                  <w:tcW w:w="852" w:type="pct"/>
                  <w:tcBorders>
                    <w:left w:val="single" w:sz="4" w:space="0" w:color="FFFFFF"/>
                  </w:tcBorders>
                  <w:shd w:val="clear" w:color="auto" w:fill="C0504D"/>
                </w:tcPr>
                <w:p w14:paraId="0A211921"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IGO</w:t>
                  </w:r>
                </w:p>
              </w:tc>
              <w:tc>
                <w:tcPr>
                  <w:tcW w:w="1222" w:type="pct"/>
                  <w:shd w:val="clear" w:color="auto" w:fill="F2DBDB"/>
                </w:tcPr>
                <w:p w14:paraId="32CDC64E" w14:textId="77777777" w:rsidR="007C6279" w:rsidRPr="00F63586" w:rsidRDefault="007C6279" w:rsidP="00F63586">
                  <w:pPr>
                    <w:jc w:val="left"/>
                    <w:rPr>
                      <w:rFonts w:cs="Arial"/>
                      <w:sz w:val="12"/>
                      <w:szCs w:val="14"/>
                    </w:rPr>
                  </w:pPr>
                  <w:r w:rsidRPr="00F63586">
                    <w:rPr>
                      <w:rFonts w:cs="Arial"/>
                      <w:sz w:val="12"/>
                      <w:szCs w:val="14"/>
                    </w:rPr>
                    <w:t>Nova-Bollinger mine and plant</w:t>
                  </w:r>
                </w:p>
              </w:tc>
              <w:tc>
                <w:tcPr>
                  <w:tcW w:w="865" w:type="pct"/>
                  <w:shd w:val="clear" w:color="auto" w:fill="F2DBDB"/>
                </w:tcPr>
                <w:p w14:paraId="1B3D6479" w14:textId="77777777" w:rsidR="007C6279" w:rsidRPr="00F63586" w:rsidRDefault="007C6279" w:rsidP="00F63586">
                  <w:pPr>
                    <w:jc w:val="left"/>
                    <w:rPr>
                      <w:rFonts w:cs="Arial"/>
                      <w:sz w:val="12"/>
                      <w:szCs w:val="14"/>
                    </w:rPr>
                  </w:pPr>
                  <w:r w:rsidRPr="00F63586">
                    <w:rPr>
                      <w:rFonts w:cs="Arial"/>
                      <w:sz w:val="12"/>
                      <w:szCs w:val="14"/>
                    </w:rPr>
                    <w:t>Nickel concentrate</w:t>
                  </w:r>
                  <w:r w:rsidRPr="00F63586">
                    <w:rPr>
                      <w:rFonts w:cs="Arial"/>
                      <w:sz w:val="12"/>
                      <w:szCs w:val="14"/>
                      <w:vertAlign w:val="superscript"/>
                    </w:rPr>
                    <w:t>#</w:t>
                  </w:r>
                  <w:r w:rsidRPr="00F63586">
                    <w:rPr>
                      <w:rFonts w:cs="Arial"/>
                      <w:sz w:val="12"/>
                      <w:szCs w:val="14"/>
                    </w:rPr>
                    <w:t>*</w:t>
                  </w:r>
                </w:p>
              </w:tc>
              <w:tc>
                <w:tcPr>
                  <w:tcW w:w="798" w:type="pct"/>
                  <w:shd w:val="clear" w:color="auto" w:fill="F2DBDB"/>
                </w:tcPr>
                <w:p w14:paraId="1D442A09"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F2DBDB"/>
                </w:tcPr>
                <w:p w14:paraId="5B0D57F6" w14:textId="77777777" w:rsidR="007C6279" w:rsidRPr="00F63586" w:rsidRDefault="007C6279" w:rsidP="00F63586">
                  <w:pPr>
                    <w:jc w:val="center"/>
                    <w:rPr>
                      <w:rFonts w:cs="Arial"/>
                      <w:sz w:val="12"/>
                      <w:szCs w:val="14"/>
                    </w:rPr>
                  </w:pPr>
                  <w:r w:rsidRPr="00F63586">
                    <w:rPr>
                      <w:rFonts w:cs="Arial"/>
                      <w:sz w:val="12"/>
                      <w:szCs w:val="14"/>
                    </w:rPr>
                    <w:t>443</w:t>
                  </w:r>
                </w:p>
              </w:tc>
              <w:tc>
                <w:tcPr>
                  <w:tcW w:w="464" w:type="pct"/>
                  <w:shd w:val="clear" w:color="auto" w:fill="F2DBDB"/>
                </w:tcPr>
                <w:p w14:paraId="29F45727" w14:textId="77777777" w:rsidR="007C6279" w:rsidRPr="00F63586" w:rsidRDefault="007C6279" w:rsidP="00F63586">
                  <w:pPr>
                    <w:jc w:val="center"/>
                    <w:rPr>
                      <w:rFonts w:cs="Arial"/>
                      <w:sz w:val="12"/>
                      <w:szCs w:val="14"/>
                    </w:rPr>
                  </w:pPr>
                  <w:r w:rsidRPr="00F63586">
                    <w:rPr>
                      <w:rFonts w:cs="Arial"/>
                      <w:sz w:val="12"/>
                      <w:szCs w:val="14"/>
                    </w:rPr>
                    <w:t>30</w:t>
                  </w:r>
                </w:p>
              </w:tc>
              <w:tc>
                <w:tcPr>
                  <w:tcW w:w="400" w:type="pct"/>
                  <w:shd w:val="clear" w:color="auto" w:fill="F2DBDB"/>
                </w:tcPr>
                <w:p w14:paraId="1DC04465" w14:textId="77777777" w:rsidR="007C6279" w:rsidRPr="00F63586" w:rsidRDefault="007C6279" w:rsidP="00F63586">
                  <w:pPr>
                    <w:jc w:val="center"/>
                    <w:rPr>
                      <w:rFonts w:cs="Arial"/>
                      <w:sz w:val="12"/>
                      <w:szCs w:val="14"/>
                    </w:rPr>
                  </w:pPr>
                  <w:r w:rsidRPr="00F63586">
                    <w:rPr>
                      <w:rFonts w:cs="Arial"/>
                      <w:sz w:val="12"/>
                      <w:szCs w:val="14"/>
                    </w:rPr>
                    <w:t>2016</w:t>
                  </w:r>
                </w:p>
              </w:tc>
            </w:tr>
            <w:tr w:rsidR="00F63586" w:rsidRPr="00403DF2" w14:paraId="3FBFC44A" w14:textId="77777777" w:rsidTr="00F63586">
              <w:trPr>
                <w:trHeight w:val="227"/>
              </w:trPr>
              <w:tc>
                <w:tcPr>
                  <w:tcW w:w="852" w:type="pct"/>
                  <w:tcBorders>
                    <w:left w:val="single" w:sz="4" w:space="0" w:color="FFFFFF"/>
                  </w:tcBorders>
                  <w:shd w:val="clear" w:color="auto" w:fill="C0504D"/>
                </w:tcPr>
                <w:p w14:paraId="1F87EC05" w14:textId="77777777" w:rsidR="007C6279" w:rsidRPr="00F63586" w:rsidRDefault="007C6279" w:rsidP="00F63586">
                  <w:pPr>
                    <w:jc w:val="left"/>
                    <w:rPr>
                      <w:rFonts w:cs="Arial"/>
                      <w:b/>
                      <w:bCs/>
                      <w:i/>
                      <w:color w:val="FFFFFF"/>
                      <w:sz w:val="12"/>
                      <w:szCs w:val="14"/>
                    </w:rPr>
                  </w:pPr>
                  <w:r w:rsidRPr="00F63586">
                    <w:rPr>
                      <w:rFonts w:cs="Arial"/>
                      <w:b/>
                      <w:bCs/>
                      <w:i/>
                      <w:color w:val="FFFFFF"/>
                      <w:sz w:val="14"/>
                      <w:szCs w:val="14"/>
                    </w:rPr>
                    <w:t>Other</w:t>
                  </w:r>
                </w:p>
              </w:tc>
              <w:tc>
                <w:tcPr>
                  <w:tcW w:w="1222" w:type="pct"/>
                  <w:shd w:val="clear" w:color="auto" w:fill="E5B8B7"/>
                </w:tcPr>
                <w:p w14:paraId="3C764579" w14:textId="77777777" w:rsidR="007C6279" w:rsidRPr="00F63586" w:rsidRDefault="007C6279" w:rsidP="00F63586">
                  <w:pPr>
                    <w:jc w:val="left"/>
                    <w:rPr>
                      <w:rFonts w:cs="Arial"/>
                      <w:sz w:val="12"/>
                      <w:szCs w:val="14"/>
                    </w:rPr>
                  </w:pPr>
                </w:p>
              </w:tc>
              <w:tc>
                <w:tcPr>
                  <w:tcW w:w="865" w:type="pct"/>
                  <w:shd w:val="clear" w:color="auto" w:fill="E5B8B7"/>
                </w:tcPr>
                <w:p w14:paraId="2053FBA4" w14:textId="77777777" w:rsidR="007C6279" w:rsidRPr="00F63586" w:rsidRDefault="007C6279" w:rsidP="00F63586">
                  <w:pPr>
                    <w:jc w:val="left"/>
                    <w:rPr>
                      <w:rFonts w:cs="Arial"/>
                      <w:sz w:val="12"/>
                      <w:szCs w:val="14"/>
                    </w:rPr>
                  </w:pPr>
                </w:p>
              </w:tc>
              <w:tc>
                <w:tcPr>
                  <w:tcW w:w="798" w:type="pct"/>
                  <w:shd w:val="clear" w:color="auto" w:fill="E5B8B7"/>
                </w:tcPr>
                <w:p w14:paraId="50E97D65" w14:textId="77777777" w:rsidR="007C6279" w:rsidRPr="00F63586" w:rsidRDefault="007C6279" w:rsidP="00F63586">
                  <w:pPr>
                    <w:jc w:val="left"/>
                    <w:rPr>
                      <w:rFonts w:cs="Arial"/>
                      <w:sz w:val="12"/>
                      <w:szCs w:val="14"/>
                    </w:rPr>
                  </w:pPr>
                </w:p>
              </w:tc>
              <w:tc>
                <w:tcPr>
                  <w:tcW w:w="399" w:type="pct"/>
                  <w:shd w:val="clear" w:color="auto" w:fill="E5B8B7"/>
                </w:tcPr>
                <w:p w14:paraId="287C7C16" w14:textId="77777777" w:rsidR="007C6279" w:rsidRPr="00F63586" w:rsidRDefault="007C6279" w:rsidP="00F63586">
                  <w:pPr>
                    <w:jc w:val="center"/>
                    <w:rPr>
                      <w:rFonts w:cs="Arial"/>
                      <w:sz w:val="12"/>
                      <w:szCs w:val="14"/>
                    </w:rPr>
                  </w:pPr>
                </w:p>
              </w:tc>
              <w:tc>
                <w:tcPr>
                  <w:tcW w:w="464" w:type="pct"/>
                  <w:shd w:val="clear" w:color="auto" w:fill="E5B8B7"/>
                </w:tcPr>
                <w:p w14:paraId="4AB11D27" w14:textId="77777777" w:rsidR="007C6279" w:rsidRPr="00F63586" w:rsidRDefault="007C6279" w:rsidP="00F63586">
                  <w:pPr>
                    <w:jc w:val="center"/>
                    <w:rPr>
                      <w:rFonts w:cs="Arial"/>
                      <w:sz w:val="12"/>
                      <w:szCs w:val="14"/>
                    </w:rPr>
                  </w:pPr>
                </w:p>
              </w:tc>
              <w:tc>
                <w:tcPr>
                  <w:tcW w:w="400" w:type="pct"/>
                  <w:shd w:val="clear" w:color="auto" w:fill="E5B8B7"/>
                </w:tcPr>
                <w:p w14:paraId="07B82DC0" w14:textId="77777777" w:rsidR="007C6279" w:rsidRPr="00F63586" w:rsidRDefault="007C6279" w:rsidP="00F63586">
                  <w:pPr>
                    <w:jc w:val="center"/>
                    <w:rPr>
                      <w:rFonts w:cs="Arial"/>
                      <w:sz w:val="12"/>
                      <w:szCs w:val="14"/>
                    </w:rPr>
                  </w:pPr>
                </w:p>
              </w:tc>
            </w:tr>
            <w:tr w:rsidR="00F63586" w:rsidRPr="00403DF2" w14:paraId="47B9F481" w14:textId="77777777" w:rsidTr="00F63586">
              <w:trPr>
                <w:trHeight w:val="227"/>
              </w:trPr>
              <w:tc>
                <w:tcPr>
                  <w:tcW w:w="852" w:type="pct"/>
                  <w:tcBorders>
                    <w:left w:val="single" w:sz="4" w:space="0" w:color="FFFFFF"/>
                  </w:tcBorders>
                  <w:shd w:val="clear" w:color="auto" w:fill="C0504D"/>
                </w:tcPr>
                <w:p w14:paraId="3ADA24CC"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Sandfire Resources</w:t>
                  </w:r>
                </w:p>
              </w:tc>
              <w:tc>
                <w:tcPr>
                  <w:tcW w:w="1222" w:type="pct"/>
                  <w:shd w:val="clear" w:color="auto" w:fill="F2DBDB"/>
                </w:tcPr>
                <w:p w14:paraId="5DC27EC0" w14:textId="77777777" w:rsidR="007C6279" w:rsidRPr="00F63586" w:rsidRDefault="007C6279" w:rsidP="00F63586">
                  <w:pPr>
                    <w:jc w:val="left"/>
                    <w:rPr>
                      <w:rFonts w:cs="Arial"/>
                      <w:sz w:val="12"/>
                      <w:szCs w:val="14"/>
                    </w:rPr>
                  </w:pPr>
                  <w:r w:rsidRPr="00F63586">
                    <w:rPr>
                      <w:rFonts w:cs="Arial"/>
                      <w:sz w:val="12"/>
                      <w:szCs w:val="14"/>
                    </w:rPr>
                    <w:t>DeGrussa mine</w:t>
                  </w:r>
                </w:p>
              </w:tc>
              <w:tc>
                <w:tcPr>
                  <w:tcW w:w="865" w:type="pct"/>
                  <w:shd w:val="clear" w:color="auto" w:fill="F2DBDB"/>
                </w:tcPr>
                <w:p w14:paraId="09856106" w14:textId="77777777" w:rsidR="007C6279" w:rsidRPr="00F63586" w:rsidRDefault="007C6279" w:rsidP="00F63586">
                  <w:pPr>
                    <w:jc w:val="left"/>
                    <w:rPr>
                      <w:rFonts w:cs="Arial"/>
                      <w:sz w:val="12"/>
                      <w:szCs w:val="14"/>
                    </w:rPr>
                  </w:pPr>
                  <w:r w:rsidRPr="00F63586">
                    <w:rPr>
                      <w:rFonts w:cs="Arial"/>
                      <w:sz w:val="12"/>
                      <w:szCs w:val="14"/>
                    </w:rPr>
                    <w:t>Copper concentrate</w:t>
                  </w:r>
                </w:p>
              </w:tc>
              <w:tc>
                <w:tcPr>
                  <w:tcW w:w="798" w:type="pct"/>
                  <w:shd w:val="clear" w:color="auto" w:fill="F2DBDB"/>
                </w:tcPr>
                <w:p w14:paraId="5CE7CB6A" w14:textId="77777777" w:rsidR="007C6279" w:rsidRPr="00F63586" w:rsidRDefault="007C6279" w:rsidP="00F63586">
                  <w:pPr>
                    <w:jc w:val="left"/>
                    <w:rPr>
                      <w:rFonts w:cs="Arial"/>
                      <w:sz w:val="12"/>
                      <w:szCs w:val="14"/>
                    </w:rPr>
                  </w:pPr>
                  <w:r w:rsidRPr="00F63586">
                    <w:rPr>
                      <w:rFonts w:cs="Arial"/>
                      <w:sz w:val="12"/>
                      <w:szCs w:val="14"/>
                    </w:rPr>
                    <w:t>Mid West</w:t>
                  </w:r>
                </w:p>
              </w:tc>
              <w:tc>
                <w:tcPr>
                  <w:tcW w:w="399" w:type="pct"/>
                  <w:shd w:val="clear" w:color="auto" w:fill="F2DBDB"/>
                </w:tcPr>
                <w:p w14:paraId="4373901A" w14:textId="77777777" w:rsidR="007C6279" w:rsidRPr="00F63586" w:rsidRDefault="007C6279" w:rsidP="00F63586">
                  <w:pPr>
                    <w:jc w:val="center"/>
                    <w:rPr>
                      <w:rFonts w:cs="Arial"/>
                      <w:sz w:val="12"/>
                      <w:szCs w:val="14"/>
                    </w:rPr>
                  </w:pPr>
                  <w:r w:rsidRPr="00F63586">
                    <w:rPr>
                      <w:rFonts w:cs="Arial"/>
                      <w:sz w:val="12"/>
                      <w:szCs w:val="14"/>
                    </w:rPr>
                    <w:t>409</w:t>
                  </w:r>
                </w:p>
              </w:tc>
              <w:tc>
                <w:tcPr>
                  <w:tcW w:w="464" w:type="pct"/>
                  <w:shd w:val="clear" w:color="auto" w:fill="F2DBDB"/>
                </w:tcPr>
                <w:p w14:paraId="436C132E" w14:textId="77777777" w:rsidR="007C6279" w:rsidRPr="00F63586" w:rsidRDefault="007C6279" w:rsidP="00F63586">
                  <w:pPr>
                    <w:jc w:val="center"/>
                    <w:rPr>
                      <w:rFonts w:cs="Arial"/>
                      <w:sz w:val="12"/>
                      <w:szCs w:val="14"/>
                    </w:rPr>
                  </w:pPr>
                  <w:r w:rsidRPr="00F63586">
                    <w:rPr>
                      <w:rFonts w:cs="Arial"/>
                      <w:sz w:val="12"/>
                      <w:szCs w:val="14"/>
                    </w:rPr>
                    <w:t>77</w:t>
                  </w:r>
                </w:p>
              </w:tc>
              <w:tc>
                <w:tcPr>
                  <w:tcW w:w="400" w:type="pct"/>
                  <w:shd w:val="clear" w:color="auto" w:fill="F2DBDB"/>
                </w:tcPr>
                <w:p w14:paraId="2428AE78" w14:textId="77777777" w:rsidR="007C6279" w:rsidRPr="00F63586" w:rsidRDefault="007C6279" w:rsidP="00F63586">
                  <w:pPr>
                    <w:jc w:val="center"/>
                    <w:rPr>
                      <w:rFonts w:cs="Arial"/>
                      <w:sz w:val="12"/>
                      <w:szCs w:val="14"/>
                    </w:rPr>
                  </w:pPr>
                  <w:r w:rsidRPr="00F63586">
                    <w:rPr>
                      <w:rFonts w:cs="Arial"/>
                      <w:sz w:val="12"/>
                      <w:szCs w:val="14"/>
                    </w:rPr>
                    <w:t>2012</w:t>
                  </w:r>
                </w:p>
              </w:tc>
            </w:tr>
            <w:tr w:rsidR="00F63586" w:rsidRPr="00403DF2" w14:paraId="4F3DEF19" w14:textId="77777777" w:rsidTr="00F63586">
              <w:trPr>
                <w:trHeight w:val="227"/>
              </w:trPr>
              <w:tc>
                <w:tcPr>
                  <w:tcW w:w="852" w:type="pct"/>
                  <w:tcBorders>
                    <w:left w:val="single" w:sz="4" w:space="0" w:color="FFFFFF"/>
                  </w:tcBorders>
                  <w:shd w:val="clear" w:color="auto" w:fill="C0504D"/>
                </w:tcPr>
                <w:p w14:paraId="43E5DA92"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Lynas</w:t>
                  </w:r>
                </w:p>
              </w:tc>
              <w:tc>
                <w:tcPr>
                  <w:tcW w:w="1222" w:type="pct"/>
                  <w:shd w:val="clear" w:color="auto" w:fill="E5B8B7"/>
                </w:tcPr>
                <w:p w14:paraId="63FEE77B" w14:textId="77777777" w:rsidR="007C6279" w:rsidRPr="00F63586" w:rsidRDefault="007C6279" w:rsidP="00F63586">
                  <w:pPr>
                    <w:jc w:val="left"/>
                    <w:rPr>
                      <w:rFonts w:cs="Arial"/>
                      <w:sz w:val="12"/>
                      <w:szCs w:val="14"/>
                    </w:rPr>
                  </w:pPr>
                  <w:r w:rsidRPr="00F63586">
                    <w:rPr>
                      <w:rFonts w:cs="Arial"/>
                      <w:sz w:val="12"/>
                      <w:szCs w:val="14"/>
                    </w:rPr>
                    <w:t>Mt Weld mine and plant</w:t>
                  </w:r>
                </w:p>
              </w:tc>
              <w:tc>
                <w:tcPr>
                  <w:tcW w:w="865" w:type="pct"/>
                  <w:shd w:val="clear" w:color="auto" w:fill="E5B8B7"/>
                </w:tcPr>
                <w:p w14:paraId="45034EB9" w14:textId="77777777" w:rsidR="007C6279" w:rsidRPr="00F63586" w:rsidRDefault="007C6279" w:rsidP="00F63586">
                  <w:pPr>
                    <w:jc w:val="left"/>
                    <w:rPr>
                      <w:rFonts w:cs="Arial"/>
                      <w:sz w:val="12"/>
                      <w:szCs w:val="14"/>
                    </w:rPr>
                  </w:pPr>
                  <w:r w:rsidRPr="00F63586">
                    <w:rPr>
                      <w:rFonts w:cs="Arial"/>
                      <w:sz w:val="12"/>
                      <w:szCs w:val="14"/>
                    </w:rPr>
                    <w:t>Rare earth oxide</w:t>
                  </w:r>
                </w:p>
              </w:tc>
              <w:tc>
                <w:tcPr>
                  <w:tcW w:w="798" w:type="pct"/>
                  <w:shd w:val="clear" w:color="auto" w:fill="E5B8B7"/>
                </w:tcPr>
                <w:p w14:paraId="2AEFDE68" w14:textId="77777777" w:rsidR="007C6279" w:rsidRPr="00F63586" w:rsidRDefault="007C6279" w:rsidP="00F63586">
                  <w:pPr>
                    <w:jc w:val="left"/>
                    <w:rPr>
                      <w:rFonts w:cs="Arial"/>
                      <w:sz w:val="12"/>
                      <w:szCs w:val="14"/>
                    </w:rPr>
                  </w:pPr>
                  <w:r w:rsidRPr="00F63586">
                    <w:rPr>
                      <w:rFonts w:cs="Arial"/>
                      <w:sz w:val="12"/>
                      <w:szCs w:val="14"/>
                    </w:rPr>
                    <w:t>Goldfields-Esperance</w:t>
                  </w:r>
                </w:p>
              </w:tc>
              <w:tc>
                <w:tcPr>
                  <w:tcW w:w="399" w:type="pct"/>
                  <w:shd w:val="clear" w:color="auto" w:fill="E5B8B7"/>
                </w:tcPr>
                <w:p w14:paraId="4F341565" w14:textId="77777777" w:rsidR="007C6279" w:rsidRPr="00F63586" w:rsidRDefault="007C6279" w:rsidP="00F63586">
                  <w:pPr>
                    <w:jc w:val="center"/>
                    <w:rPr>
                      <w:rFonts w:cs="Arial"/>
                      <w:sz w:val="12"/>
                      <w:szCs w:val="14"/>
                    </w:rPr>
                  </w:pPr>
                  <w:r w:rsidRPr="00F63586">
                    <w:rPr>
                      <w:rFonts w:cs="Arial"/>
                      <w:sz w:val="12"/>
                      <w:szCs w:val="14"/>
                    </w:rPr>
                    <w:t>170</w:t>
                  </w:r>
                </w:p>
              </w:tc>
              <w:tc>
                <w:tcPr>
                  <w:tcW w:w="464" w:type="pct"/>
                  <w:shd w:val="clear" w:color="auto" w:fill="E5B8B7"/>
                </w:tcPr>
                <w:p w14:paraId="1C25A6D3" w14:textId="77777777" w:rsidR="007C6279" w:rsidRPr="00F63586" w:rsidRDefault="007C6279" w:rsidP="00F63586">
                  <w:pPr>
                    <w:jc w:val="center"/>
                    <w:rPr>
                      <w:rFonts w:cs="Arial"/>
                      <w:sz w:val="12"/>
                      <w:szCs w:val="14"/>
                    </w:rPr>
                  </w:pPr>
                  <w:r w:rsidRPr="00F63586">
                    <w:rPr>
                      <w:rFonts w:cs="Arial"/>
                      <w:sz w:val="12"/>
                      <w:szCs w:val="14"/>
                    </w:rPr>
                    <w:t>27</w:t>
                  </w:r>
                </w:p>
              </w:tc>
              <w:tc>
                <w:tcPr>
                  <w:tcW w:w="400" w:type="pct"/>
                  <w:shd w:val="clear" w:color="auto" w:fill="E5B8B7"/>
                </w:tcPr>
                <w:p w14:paraId="6B7DAC0A" w14:textId="77777777" w:rsidR="007C6279" w:rsidRPr="00F63586" w:rsidRDefault="007C6279" w:rsidP="00F63586">
                  <w:pPr>
                    <w:jc w:val="center"/>
                    <w:rPr>
                      <w:rFonts w:cs="Arial"/>
                      <w:sz w:val="12"/>
                      <w:szCs w:val="14"/>
                    </w:rPr>
                  </w:pPr>
                  <w:r w:rsidRPr="00F63586">
                    <w:rPr>
                      <w:rFonts w:cs="Arial"/>
                      <w:sz w:val="12"/>
                      <w:szCs w:val="14"/>
                    </w:rPr>
                    <w:t>2013</w:t>
                  </w:r>
                </w:p>
              </w:tc>
            </w:tr>
            <w:tr w:rsidR="00F63586" w:rsidRPr="00403DF2" w14:paraId="2547C94E" w14:textId="77777777" w:rsidTr="00F63586">
              <w:trPr>
                <w:trHeight w:val="227"/>
              </w:trPr>
              <w:tc>
                <w:tcPr>
                  <w:tcW w:w="852" w:type="pct"/>
                  <w:tcBorders>
                    <w:left w:val="single" w:sz="4" w:space="0" w:color="FFFFFF"/>
                  </w:tcBorders>
                  <w:shd w:val="clear" w:color="auto" w:fill="C0504D"/>
                </w:tcPr>
                <w:p w14:paraId="160A687A"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Consolidated Minerals</w:t>
                  </w:r>
                </w:p>
              </w:tc>
              <w:tc>
                <w:tcPr>
                  <w:tcW w:w="1222" w:type="pct"/>
                  <w:shd w:val="clear" w:color="auto" w:fill="F2DBDB"/>
                </w:tcPr>
                <w:p w14:paraId="2856D45B" w14:textId="77777777" w:rsidR="007C6279" w:rsidRPr="00F63586" w:rsidRDefault="007C6279" w:rsidP="00F63586">
                  <w:pPr>
                    <w:jc w:val="left"/>
                    <w:rPr>
                      <w:rFonts w:cs="Arial"/>
                      <w:sz w:val="12"/>
                      <w:szCs w:val="14"/>
                    </w:rPr>
                  </w:pPr>
                  <w:r w:rsidRPr="00F63586">
                    <w:rPr>
                      <w:rFonts w:cs="Arial"/>
                      <w:sz w:val="12"/>
                      <w:szCs w:val="14"/>
                    </w:rPr>
                    <w:t>Woodie Woodie mine (restart)</w:t>
                  </w:r>
                </w:p>
              </w:tc>
              <w:tc>
                <w:tcPr>
                  <w:tcW w:w="865" w:type="pct"/>
                  <w:shd w:val="clear" w:color="auto" w:fill="F2DBDB"/>
                </w:tcPr>
                <w:p w14:paraId="261D7E34" w14:textId="77777777" w:rsidR="007C6279" w:rsidRPr="00F63586" w:rsidRDefault="007C6279" w:rsidP="00F63586">
                  <w:pPr>
                    <w:jc w:val="left"/>
                    <w:rPr>
                      <w:rFonts w:cs="Arial"/>
                      <w:sz w:val="12"/>
                      <w:szCs w:val="14"/>
                    </w:rPr>
                  </w:pPr>
                  <w:r w:rsidRPr="00F63586">
                    <w:rPr>
                      <w:rFonts w:cs="Arial"/>
                      <w:sz w:val="12"/>
                      <w:szCs w:val="14"/>
                    </w:rPr>
                    <w:t>Manganese ore</w:t>
                  </w:r>
                </w:p>
              </w:tc>
              <w:tc>
                <w:tcPr>
                  <w:tcW w:w="798" w:type="pct"/>
                  <w:shd w:val="clear" w:color="auto" w:fill="F2DBDB"/>
                </w:tcPr>
                <w:p w14:paraId="547F4DE2" w14:textId="77777777" w:rsidR="007C6279" w:rsidRPr="00F63586" w:rsidRDefault="007C6279" w:rsidP="00F63586">
                  <w:pPr>
                    <w:jc w:val="left"/>
                    <w:rPr>
                      <w:rFonts w:cs="Arial"/>
                      <w:sz w:val="12"/>
                      <w:szCs w:val="14"/>
                    </w:rPr>
                  </w:pPr>
                  <w:r w:rsidRPr="00F63586">
                    <w:rPr>
                      <w:rFonts w:cs="Arial"/>
                      <w:bCs/>
                      <w:sz w:val="12"/>
                      <w:szCs w:val="14"/>
                    </w:rPr>
                    <w:t>Pilbara</w:t>
                  </w:r>
                </w:p>
              </w:tc>
              <w:tc>
                <w:tcPr>
                  <w:tcW w:w="399" w:type="pct"/>
                  <w:shd w:val="clear" w:color="auto" w:fill="F2DBDB"/>
                </w:tcPr>
                <w:p w14:paraId="32DBAB66" w14:textId="77777777" w:rsidR="007C6279" w:rsidRPr="00F63586" w:rsidRDefault="007C6279" w:rsidP="00F63586">
                  <w:pPr>
                    <w:jc w:val="center"/>
                    <w:rPr>
                      <w:rFonts w:cs="Arial"/>
                      <w:sz w:val="12"/>
                      <w:szCs w:val="14"/>
                    </w:rPr>
                  </w:pPr>
                  <w:r w:rsidRPr="00F63586">
                    <w:rPr>
                      <w:rFonts w:cs="Arial"/>
                      <w:sz w:val="12"/>
                      <w:szCs w:val="14"/>
                    </w:rPr>
                    <w:t>30</w:t>
                  </w:r>
                </w:p>
              </w:tc>
              <w:tc>
                <w:tcPr>
                  <w:tcW w:w="464" w:type="pct"/>
                  <w:shd w:val="clear" w:color="auto" w:fill="F2DBDB"/>
                </w:tcPr>
                <w:p w14:paraId="304B28CB" w14:textId="77777777" w:rsidR="007C6279" w:rsidRPr="00F63586" w:rsidRDefault="007C6279" w:rsidP="00F63586">
                  <w:pPr>
                    <w:jc w:val="center"/>
                    <w:rPr>
                      <w:rFonts w:cs="Arial"/>
                      <w:sz w:val="12"/>
                      <w:szCs w:val="14"/>
                    </w:rPr>
                  </w:pPr>
                  <w:r w:rsidRPr="00F63586">
                    <w:rPr>
                      <w:rFonts w:cs="Arial"/>
                      <w:sz w:val="12"/>
                      <w:szCs w:val="14"/>
                    </w:rPr>
                    <w:t>1,500</w:t>
                  </w:r>
                </w:p>
              </w:tc>
              <w:tc>
                <w:tcPr>
                  <w:tcW w:w="400" w:type="pct"/>
                  <w:shd w:val="clear" w:color="auto" w:fill="F2DBDB"/>
                </w:tcPr>
                <w:p w14:paraId="4E68CB30" w14:textId="77777777" w:rsidR="007C6279" w:rsidRPr="00F63586" w:rsidRDefault="007C6279" w:rsidP="00F63586">
                  <w:pPr>
                    <w:jc w:val="center"/>
                    <w:rPr>
                      <w:rFonts w:cs="Arial"/>
                      <w:sz w:val="12"/>
                      <w:szCs w:val="14"/>
                    </w:rPr>
                  </w:pPr>
                  <w:r w:rsidRPr="00F63586">
                    <w:rPr>
                      <w:rFonts w:cs="Arial"/>
                      <w:sz w:val="12"/>
                      <w:szCs w:val="14"/>
                    </w:rPr>
                    <w:t>2017</w:t>
                  </w:r>
                </w:p>
              </w:tc>
            </w:tr>
            <w:tr w:rsidR="00F63586" w:rsidRPr="00403DF2" w14:paraId="21D437B5" w14:textId="77777777" w:rsidTr="00F63586">
              <w:trPr>
                <w:trHeight w:val="227"/>
              </w:trPr>
              <w:tc>
                <w:tcPr>
                  <w:tcW w:w="852" w:type="pct"/>
                  <w:tcBorders>
                    <w:left w:val="single" w:sz="4" w:space="0" w:color="FFFFFF"/>
                  </w:tcBorders>
                  <w:shd w:val="clear" w:color="auto" w:fill="C0504D"/>
                </w:tcPr>
                <w:p w14:paraId="4E027925"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Northern Minerals</w:t>
                  </w:r>
                </w:p>
              </w:tc>
              <w:tc>
                <w:tcPr>
                  <w:tcW w:w="1222" w:type="pct"/>
                  <w:shd w:val="clear" w:color="auto" w:fill="E5B8B7"/>
                </w:tcPr>
                <w:p w14:paraId="4FEE690A" w14:textId="77777777" w:rsidR="007C6279" w:rsidRPr="00F63586" w:rsidRDefault="007C6279" w:rsidP="00F63586">
                  <w:pPr>
                    <w:jc w:val="left"/>
                    <w:rPr>
                      <w:rFonts w:cs="Arial"/>
                      <w:sz w:val="12"/>
                      <w:szCs w:val="14"/>
                    </w:rPr>
                  </w:pPr>
                  <w:r w:rsidRPr="00F63586">
                    <w:rPr>
                      <w:rFonts w:cs="Arial"/>
                      <w:sz w:val="12"/>
                      <w:szCs w:val="14"/>
                    </w:rPr>
                    <w:t xml:space="preserve">Browns Range pilot plant </w:t>
                  </w:r>
                  <w:r w:rsidRPr="00F63586">
                    <w:rPr>
                      <w:rFonts w:cs="Arial"/>
                      <w:bCs/>
                      <w:sz w:val="12"/>
                      <w:szCs w:val="14"/>
                    </w:rPr>
                    <w:t>[care and maintenance]</w:t>
                  </w:r>
                </w:p>
              </w:tc>
              <w:tc>
                <w:tcPr>
                  <w:tcW w:w="865" w:type="pct"/>
                  <w:shd w:val="clear" w:color="auto" w:fill="E5B8B7"/>
                </w:tcPr>
                <w:p w14:paraId="0840945B" w14:textId="77777777" w:rsidR="007C6279" w:rsidRPr="00F63586" w:rsidRDefault="007C6279" w:rsidP="00F63586">
                  <w:pPr>
                    <w:jc w:val="left"/>
                    <w:rPr>
                      <w:rFonts w:cs="Arial"/>
                      <w:sz w:val="12"/>
                      <w:szCs w:val="14"/>
                    </w:rPr>
                  </w:pPr>
                  <w:r w:rsidRPr="00F63586">
                    <w:rPr>
                      <w:rFonts w:cs="Arial"/>
                      <w:sz w:val="12"/>
                      <w:szCs w:val="14"/>
                    </w:rPr>
                    <w:t>Rare earths</w:t>
                  </w:r>
                </w:p>
              </w:tc>
              <w:tc>
                <w:tcPr>
                  <w:tcW w:w="798" w:type="pct"/>
                  <w:shd w:val="clear" w:color="auto" w:fill="E5B8B7"/>
                </w:tcPr>
                <w:p w14:paraId="308813DE" w14:textId="77777777" w:rsidR="007C6279" w:rsidRPr="00F63586" w:rsidRDefault="007C6279" w:rsidP="00F63586">
                  <w:pPr>
                    <w:jc w:val="left"/>
                    <w:rPr>
                      <w:rFonts w:cs="Arial"/>
                      <w:sz w:val="12"/>
                      <w:szCs w:val="14"/>
                    </w:rPr>
                  </w:pPr>
                  <w:r w:rsidRPr="00F63586">
                    <w:rPr>
                      <w:rFonts w:cs="Arial"/>
                      <w:sz w:val="12"/>
                      <w:szCs w:val="14"/>
                    </w:rPr>
                    <w:t>Kimberley</w:t>
                  </w:r>
                </w:p>
              </w:tc>
              <w:tc>
                <w:tcPr>
                  <w:tcW w:w="399" w:type="pct"/>
                  <w:shd w:val="clear" w:color="auto" w:fill="E5B8B7"/>
                </w:tcPr>
                <w:p w14:paraId="6F6EF6F3" w14:textId="77777777" w:rsidR="007C6279" w:rsidRPr="00F63586" w:rsidRDefault="007C6279" w:rsidP="00F63586">
                  <w:pPr>
                    <w:jc w:val="center"/>
                    <w:rPr>
                      <w:rFonts w:cs="Arial"/>
                      <w:sz w:val="12"/>
                      <w:szCs w:val="14"/>
                    </w:rPr>
                  </w:pPr>
                  <w:r w:rsidRPr="00F63586">
                    <w:rPr>
                      <w:rFonts w:cs="Arial"/>
                      <w:sz w:val="12"/>
                      <w:szCs w:val="14"/>
                    </w:rPr>
                    <w:t>89</w:t>
                  </w:r>
                </w:p>
              </w:tc>
              <w:tc>
                <w:tcPr>
                  <w:tcW w:w="464" w:type="pct"/>
                  <w:shd w:val="clear" w:color="auto" w:fill="E5B8B7"/>
                </w:tcPr>
                <w:p w14:paraId="0F04B72D" w14:textId="77777777" w:rsidR="007C6279" w:rsidRPr="00F63586" w:rsidRDefault="007C6279" w:rsidP="00F63586">
                  <w:pPr>
                    <w:jc w:val="center"/>
                    <w:rPr>
                      <w:rFonts w:cs="Arial"/>
                      <w:sz w:val="12"/>
                      <w:szCs w:val="14"/>
                    </w:rPr>
                  </w:pPr>
                  <w:r w:rsidRPr="00F63586">
                    <w:rPr>
                      <w:rFonts w:cs="Arial"/>
                      <w:sz w:val="12"/>
                      <w:szCs w:val="14"/>
                    </w:rPr>
                    <w:t>0.05</w:t>
                  </w:r>
                </w:p>
              </w:tc>
              <w:tc>
                <w:tcPr>
                  <w:tcW w:w="400" w:type="pct"/>
                  <w:shd w:val="clear" w:color="auto" w:fill="E5B8B7"/>
                </w:tcPr>
                <w:p w14:paraId="42F3E63B" w14:textId="77777777" w:rsidR="007C6279" w:rsidRPr="00F63586" w:rsidRDefault="007C6279" w:rsidP="00F63586">
                  <w:pPr>
                    <w:jc w:val="center"/>
                    <w:rPr>
                      <w:rFonts w:cs="Arial"/>
                      <w:sz w:val="12"/>
                      <w:szCs w:val="14"/>
                    </w:rPr>
                  </w:pPr>
                  <w:r w:rsidRPr="00F63586">
                    <w:rPr>
                      <w:rFonts w:cs="Arial"/>
                      <w:sz w:val="12"/>
                      <w:szCs w:val="14"/>
                    </w:rPr>
                    <w:t>2018</w:t>
                  </w:r>
                </w:p>
              </w:tc>
            </w:tr>
            <w:tr w:rsidR="007C6279" w:rsidRPr="00403DF2" w14:paraId="29A321E1" w14:textId="77777777" w:rsidTr="00F63586">
              <w:trPr>
                <w:trHeight w:val="227"/>
              </w:trPr>
              <w:tc>
                <w:tcPr>
                  <w:tcW w:w="5000" w:type="pct"/>
                  <w:gridSpan w:val="7"/>
                  <w:tcBorders>
                    <w:left w:val="single" w:sz="4" w:space="0" w:color="FFFFFF"/>
                  </w:tcBorders>
                  <w:shd w:val="clear" w:color="auto" w:fill="C0504D"/>
                </w:tcPr>
                <w:p w14:paraId="6569DF29" w14:textId="77777777" w:rsidR="007C6279" w:rsidRPr="00F63586" w:rsidRDefault="007C6279" w:rsidP="00F63586">
                  <w:pPr>
                    <w:jc w:val="left"/>
                    <w:rPr>
                      <w:rFonts w:cs="Arial"/>
                      <w:b/>
                      <w:bCs/>
                      <w:color w:val="FFFFFF"/>
                      <w:sz w:val="12"/>
                      <w:szCs w:val="16"/>
                    </w:rPr>
                  </w:pPr>
                  <w:r w:rsidRPr="00F63586">
                    <w:rPr>
                      <w:rFonts w:cs="Arial"/>
                      <w:b/>
                      <w:bCs/>
                      <w:color w:val="FFFFFF"/>
                      <w:sz w:val="14"/>
                      <w:szCs w:val="16"/>
                    </w:rPr>
                    <w:t>Under construction or committed</w:t>
                  </w:r>
                </w:p>
              </w:tc>
            </w:tr>
            <w:tr w:rsidR="00F63586" w:rsidRPr="00403DF2" w14:paraId="69DB18BD" w14:textId="77777777" w:rsidTr="00F63586">
              <w:trPr>
                <w:trHeight w:val="227"/>
              </w:trPr>
              <w:tc>
                <w:tcPr>
                  <w:tcW w:w="852" w:type="pct"/>
                  <w:tcBorders>
                    <w:left w:val="single" w:sz="4" w:space="0" w:color="FFFFFF"/>
                  </w:tcBorders>
                  <w:shd w:val="clear" w:color="auto" w:fill="C0504D"/>
                </w:tcPr>
                <w:p w14:paraId="7257837C" w14:textId="77777777" w:rsidR="007C6279" w:rsidRPr="00F63586" w:rsidRDefault="007C6279" w:rsidP="00F63586">
                  <w:pPr>
                    <w:jc w:val="left"/>
                    <w:rPr>
                      <w:rFonts w:cs="Arial"/>
                      <w:b/>
                      <w:bCs/>
                      <w:i/>
                      <w:color w:val="FFFFFF"/>
                      <w:sz w:val="12"/>
                      <w:szCs w:val="14"/>
                    </w:rPr>
                  </w:pPr>
                  <w:r w:rsidRPr="00F63586">
                    <w:rPr>
                      <w:rFonts w:cs="Arial"/>
                      <w:b/>
                      <w:bCs/>
                      <w:i/>
                      <w:color w:val="FFFFFF"/>
                      <w:sz w:val="14"/>
                      <w:szCs w:val="14"/>
                    </w:rPr>
                    <w:t>Lithium</w:t>
                  </w:r>
                </w:p>
              </w:tc>
              <w:tc>
                <w:tcPr>
                  <w:tcW w:w="1222" w:type="pct"/>
                  <w:shd w:val="clear" w:color="auto" w:fill="E5B8B7"/>
                </w:tcPr>
                <w:p w14:paraId="225C2894" w14:textId="77777777" w:rsidR="007C6279" w:rsidRPr="00F63586" w:rsidRDefault="007C6279" w:rsidP="00F63586">
                  <w:pPr>
                    <w:jc w:val="left"/>
                    <w:rPr>
                      <w:rFonts w:cs="Arial"/>
                      <w:sz w:val="12"/>
                      <w:szCs w:val="14"/>
                    </w:rPr>
                  </w:pPr>
                </w:p>
              </w:tc>
              <w:tc>
                <w:tcPr>
                  <w:tcW w:w="865" w:type="pct"/>
                  <w:shd w:val="clear" w:color="auto" w:fill="E5B8B7"/>
                </w:tcPr>
                <w:p w14:paraId="448D8B69" w14:textId="77777777" w:rsidR="007C6279" w:rsidRPr="00F63586" w:rsidRDefault="007C6279" w:rsidP="00F63586">
                  <w:pPr>
                    <w:jc w:val="left"/>
                    <w:rPr>
                      <w:rFonts w:cs="Arial"/>
                      <w:sz w:val="12"/>
                      <w:szCs w:val="14"/>
                    </w:rPr>
                  </w:pPr>
                </w:p>
              </w:tc>
              <w:tc>
                <w:tcPr>
                  <w:tcW w:w="798" w:type="pct"/>
                  <w:shd w:val="clear" w:color="auto" w:fill="E5B8B7"/>
                </w:tcPr>
                <w:p w14:paraId="052A063A" w14:textId="77777777" w:rsidR="007C6279" w:rsidRPr="00F63586" w:rsidRDefault="007C6279" w:rsidP="00F63586">
                  <w:pPr>
                    <w:jc w:val="left"/>
                    <w:rPr>
                      <w:rFonts w:cs="Arial"/>
                      <w:sz w:val="12"/>
                      <w:szCs w:val="14"/>
                    </w:rPr>
                  </w:pPr>
                </w:p>
              </w:tc>
              <w:tc>
                <w:tcPr>
                  <w:tcW w:w="399" w:type="pct"/>
                  <w:shd w:val="clear" w:color="auto" w:fill="E5B8B7"/>
                </w:tcPr>
                <w:p w14:paraId="383D92B2" w14:textId="77777777" w:rsidR="007C6279" w:rsidRPr="00F63586" w:rsidRDefault="007C6279" w:rsidP="00F63586">
                  <w:pPr>
                    <w:jc w:val="center"/>
                    <w:rPr>
                      <w:rFonts w:cs="Arial"/>
                      <w:sz w:val="12"/>
                      <w:szCs w:val="14"/>
                    </w:rPr>
                  </w:pPr>
                </w:p>
              </w:tc>
              <w:tc>
                <w:tcPr>
                  <w:tcW w:w="464" w:type="pct"/>
                  <w:shd w:val="clear" w:color="auto" w:fill="E5B8B7"/>
                </w:tcPr>
                <w:p w14:paraId="2D319646" w14:textId="77777777" w:rsidR="007C6279" w:rsidRPr="00F63586" w:rsidRDefault="007C6279" w:rsidP="00F63586">
                  <w:pPr>
                    <w:jc w:val="center"/>
                    <w:rPr>
                      <w:rFonts w:cs="Arial"/>
                      <w:sz w:val="12"/>
                      <w:szCs w:val="14"/>
                    </w:rPr>
                  </w:pPr>
                </w:p>
              </w:tc>
              <w:tc>
                <w:tcPr>
                  <w:tcW w:w="400" w:type="pct"/>
                  <w:shd w:val="clear" w:color="auto" w:fill="E5B8B7"/>
                </w:tcPr>
                <w:p w14:paraId="625ECC93" w14:textId="77777777" w:rsidR="007C6279" w:rsidRPr="00F63586" w:rsidRDefault="007C6279" w:rsidP="00F63586">
                  <w:pPr>
                    <w:jc w:val="center"/>
                    <w:rPr>
                      <w:rFonts w:cs="Arial"/>
                      <w:sz w:val="12"/>
                      <w:szCs w:val="14"/>
                    </w:rPr>
                  </w:pPr>
                </w:p>
              </w:tc>
            </w:tr>
            <w:tr w:rsidR="00F63586" w:rsidRPr="00403DF2" w14:paraId="402BC838" w14:textId="77777777" w:rsidTr="00F63586">
              <w:trPr>
                <w:trHeight w:val="227"/>
              </w:trPr>
              <w:tc>
                <w:tcPr>
                  <w:tcW w:w="852" w:type="pct"/>
                  <w:tcBorders>
                    <w:left w:val="single" w:sz="4" w:space="0" w:color="FFFFFF"/>
                  </w:tcBorders>
                  <w:shd w:val="clear" w:color="auto" w:fill="C0504D"/>
                </w:tcPr>
                <w:p w14:paraId="1550F5BC"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Tianqi Lithium</w:t>
                  </w:r>
                </w:p>
              </w:tc>
              <w:tc>
                <w:tcPr>
                  <w:tcW w:w="1222" w:type="pct"/>
                  <w:shd w:val="clear" w:color="auto" w:fill="F2DBDB"/>
                </w:tcPr>
                <w:p w14:paraId="5DEFF66D" w14:textId="77777777" w:rsidR="007C6279" w:rsidRPr="00027494" w:rsidRDefault="007C6279" w:rsidP="00F63586">
                  <w:pPr>
                    <w:jc w:val="left"/>
                    <w:rPr>
                      <w:rFonts w:cs="Arial"/>
                      <w:sz w:val="12"/>
                      <w:szCs w:val="14"/>
                    </w:rPr>
                  </w:pPr>
                  <w:r w:rsidRPr="00027494">
                    <w:rPr>
                      <w:rFonts w:cs="Arial"/>
                      <w:sz w:val="12"/>
                      <w:szCs w:val="14"/>
                    </w:rPr>
                    <w:t>Kwinana plant (train 1)</w:t>
                  </w:r>
                </w:p>
              </w:tc>
              <w:tc>
                <w:tcPr>
                  <w:tcW w:w="865" w:type="pct"/>
                  <w:shd w:val="clear" w:color="auto" w:fill="F2DBDB"/>
                </w:tcPr>
                <w:p w14:paraId="59CD983A" w14:textId="77777777" w:rsidR="007C6279" w:rsidRPr="00027494" w:rsidRDefault="007C6279" w:rsidP="00F63586">
                  <w:pPr>
                    <w:jc w:val="left"/>
                    <w:rPr>
                      <w:rFonts w:cs="Arial"/>
                      <w:sz w:val="12"/>
                      <w:szCs w:val="14"/>
                    </w:rPr>
                  </w:pPr>
                  <w:r w:rsidRPr="00027494">
                    <w:rPr>
                      <w:rFonts w:cs="Arial"/>
                      <w:sz w:val="12"/>
                      <w:szCs w:val="14"/>
                    </w:rPr>
                    <w:t>Lithium hydroxide</w:t>
                  </w:r>
                </w:p>
              </w:tc>
              <w:tc>
                <w:tcPr>
                  <w:tcW w:w="798" w:type="pct"/>
                  <w:shd w:val="clear" w:color="auto" w:fill="F2DBDB"/>
                </w:tcPr>
                <w:p w14:paraId="3F55C0BD" w14:textId="77777777" w:rsidR="007C6279" w:rsidRPr="00027494" w:rsidRDefault="007C6279" w:rsidP="00F63586">
                  <w:pPr>
                    <w:jc w:val="left"/>
                    <w:rPr>
                      <w:rFonts w:cs="Arial"/>
                      <w:sz w:val="12"/>
                      <w:szCs w:val="14"/>
                    </w:rPr>
                  </w:pPr>
                  <w:r w:rsidRPr="00027494">
                    <w:rPr>
                      <w:rFonts w:cs="Arial"/>
                      <w:sz w:val="12"/>
                      <w:szCs w:val="14"/>
                    </w:rPr>
                    <w:t>Perth</w:t>
                  </w:r>
                </w:p>
              </w:tc>
              <w:tc>
                <w:tcPr>
                  <w:tcW w:w="399" w:type="pct"/>
                  <w:shd w:val="clear" w:color="auto" w:fill="F2DBDB"/>
                </w:tcPr>
                <w:p w14:paraId="57CFDA11" w14:textId="77777777" w:rsidR="007C6279" w:rsidRPr="00027494" w:rsidRDefault="007C6279" w:rsidP="00F63586">
                  <w:pPr>
                    <w:jc w:val="center"/>
                    <w:rPr>
                      <w:rFonts w:cs="Arial"/>
                      <w:sz w:val="12"/>
                      <w:szCs w:val="14"/>
                    </w:rPr>
                  </w:pPr>
                  <w:r w:rsidRPr="00027494">
                    <w:rPr>
                      <w:rFonts w:cs="Arial"/>
                      <w:sz w:val="12"/>
                      <w:szCs w:val="14"/>
                    </w:rPr>
                    <w:t>400</w:t>
                  </w:r>
                </w:p>
              </w:tc>
              <w:tc>
                <w:tcPr>
                  <w:tcW w:w="464" w:type="pct"/>
                  <w:shd w:val="clear" w:color="auto" w:fill="F2DBDB"/>
                </w:tcPr>
                <w:p w14:paraId="5BED9BFC" w14:textId="77777777" w:rsidR="007C6279" w:rsidRPr="00027494" w:rsidRDefault="007C6279" w:rsidP="00F63586">
                  <w:pPr>
                    <w:jc w:val="center"/>
                    <w:rPr>
                      <w:rFonts w:cs="Arial"/>
                      <w:sz w:val="12"/>
                      <w:szCs w:val="14"/>
                    </w:rPr>
                  </w:pPr>
                  <w:r w:rsidRPr="00027494">
                    <w:rPr>
                      <w:rFonts w:cs="Arial"/>
                      <w:sz w:val="12"/>
                      <w:szCs w:val="14"/>
                    </w:rPr>
                    <w:t>24</w:t>
                  </w:r>
                </w:p>
              </w:tc>
              <w:tc>
                <w:tcPr>
                  <w:tcW w:w="400" w:type="pct"/>
                  <w:shd w:val="clear" w:color="auto" w:fill="F2DBDB"/>
                </w:tcPr>
                <w:p w14:paraId="4585FC45" w14:textId="45173083" w:rsidR="007C6279" w:rsidRPr="00027494" w:rsidRDefault="007C6279" w:rsidP="00B66E51">
                  <w:pPr>
                    <w:jc w:val="center"/>
                    <w:rPr>
                      <w:rFonts w:cs="Arial"/>
                      <w:sz w:val="12"/>
                      <w:szCs w:val="14"/>
                    </w:rPr>
                  </w:pPr>
                  <w:r w:rsidRPr="00027494">
                    <w:rPr>
                      <w:rFonts w:cs="Arial"/>
                      <w:sz w:val="12"/>
                      <w:szCs w:val="14"/>
                    </w:rPr>
                    <w:t>202</w:t>
                  </w:r>
                  <w:r w:rsidR="00B66E51" w:rsidRPr="00027494">
                    <w:rPr>
                      <w:rFonts w:cs="Arial"/>
                      <w:sz w:val="12"/>
                      <w:szCs w:val="14"/>
                    </w:rPr>
                    <w:t>1</w:t>
                  </w:r>
                </w:p>
              </w:tc>
            </w:tr>
            <w:tr w:rsidR="00F63586" w:rsidRPr="00403DF2" w14:paraId="5463DDCD" w14:textId="77777777" w:rsidTr="00F63586">
              <w:trPr>
                <w:trHeight w:val="227"/>
              </w:trPr>
              <w:tc>
                <w:tcPr>
                  <w:tcW w:w="852" w:type="pct"/>
                  <w:tcBorders>
                    <w:left w:val="single" w:sz="4" w:space="0" w:color="FFFFFF"/>
                  </w:tcBorders>
                  <w:shd w:val="clear" w:color="auto" w:fill="C0504D"/>
                </w:tcPr>
                <w:p w14:paraId="6AACEE6C"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Albemarle</w:t>
                  </w:r>
                </w:p>
              </w:tc>
              <w:tc>
                <w:tcPr>
                  <w:tcW w:w="1222" w:type="pct"/>
                  <w:shd w:val="clear" w:color="auto" w:fill="E5B8B7"/>
                </w:tcPr>
                <w:p w14:paraId="07439C86" w14:textId="77777777" w:rsidR="007C6279" w:rsidRPr="00027494" w:rsidRDefault="007C6279" w:rsidP="00F63586">
                  <w:pPr>
                    <w:jc w:val="left"/>
                    <w:rPr>
                      <w:rFonts w:cs="Arial"/>
                      <w:sz w:val="12"/>
                      <w:szCs w:val="14"/>
                    </w:rPr>
                  </w:pPr>
                  <w:r w:rsidRPr="00027494">
                    <w:rPr>
                      <w:rFonts w:cs="Arial"/>
                      <w:sz w:val="12"/>
                      <w:szCs w:val="14"/>
                    </w:rPr>
                    <w:t>Kemerton plant (trains 1-2)</w:t>
                  </w:r>
                </w:p>
              </w:tc>
              <w:tc>
                <w:tcPr>
                  <w:tcW w:w="865" w:type="pct"/>
                  <w:shd w:val="clear" w:color="auto" w:fill="E5B8B7"/>
                </w:tcPr>
                <w:p w14:paraId="47D87AC0" w14:textId="77777777" w:rsidR="007C6279" w:rsidRPr="00027494" w:rsidRDefault="007C6279" w:rsidP="00F63586">
                  <w:pPr>
                    <w:jc w:val="left"/>
                    <w:rPr>
                      <w:rFonts w:cs="Arial"/>
                      <w:sz w:val="12"/>
                      <w:szCs w:val="14"/>
                    </w:rPr>
                  </w:pPr>
                  <w:r w:rsidRPr="00027494">
                    <w:rPr>
                      <w:rFonts w:cs="Arial"/>
                      <w:sz w:val="12"/>
                      <w:szCs w:val="14"/>
                    </w:rPr>
                    <w:t>Lithium hydroxide</w:t>
                  </w:r>
                </w:p>
              </w:tc>
              <w:tc>
                <w:tcPr>
                  <w:tcW w:w="798" w:type="pct"/>
                  <w:shd w:val="clear" w:color="auto" w:fill="E5B8B7"/>
                </w:tcPr>
                <w:p w14:paraId="56E9E8D2" w14:textId="77777777" w:rsidR="007C6279" w:rsidRPr="00027494" w:rsidRDefault="007C6279" w:rsidP="00F63586">
                  <w:pPr>
                    <w:jc w:val="left"/>
                    <w:rPr>
                      <w:rFonts w:cs="Arial"/>
                      <w:sz w:val="12"/>
                      <w:szCs w:val="14"/>
                    </w:rPr>
                  </w:pPr>
                  <w:r w:rsidRPr="00027494">
                    <w:rPr>
                      <w:rFonts w:cs="Arial"/>
                      <w:sz w:val="12"/>
                      <w:szCs w:val="14"/>
                    </w:rPr>
                    <w:t>South West</w:t>
                  </w:r>
                </w:p>
              </w:tc>
              <w:tc>
                <w:tcPr>
                  <w:tcW w:w="399" w:type="pct"/>
                  <w:shd w:val="clear" w:color="auto" w:fill="E5B8B7"/>
                </w:tcPr>
                <w:p w14:paraId="6695AEA8" w14:textId="77777777" w:rsidR="007C6279" w:rsidRPr="00027494" w:rsidRDefault="007C6279" w:rsidP="00F63586">
                  <w:pPr>
                    <w:jc w:val="center"/>
                    <w:rPr>
                      <w:rFonts w:cs="Arial"/>
                      <w:sz w:val="12"/>
                      <w:szCs w:val="14"/>
                    </w:rPr>
                  </w:pPr>
                  <w:r w:rsidRPr="00027494">
                    <w:rPr>
                      <w:rFonts w:cs="Arial"/>
                      <w:sz w:val="12"/>
                      <w:szCs w:val="14"/>
                    </w:rPr>
                    <w:t>500</w:t>
                  </w:r>
                </w:p>
              </w:tc>
              <w:tc>
                <w:tcPr>
                  <w:tcW w:w="464" w:type="pct"/>
                  <w:shd w:val="clear" w:color="auto" w:fill="E5B8B7"/>
                </w:tcPr>
                <w:p w14:paraId="175A523A" w14:textId="77777777" w:rsidR="007C6279" w:rsidRPr="00027494" w:rsidRDefault="007C6279" w:rsidP="00F63586">
                  <w:pPr>
                    <w:jc w:val="center"/>
                    <w:rPr>
                      <w:rFonts w:cs="Arial"/>
                      <w:sz w:val="12"/>
                      <w:szCs w:val="14"/>
                    </w:rPr>
                  </w:pPr>
                  <w:r w:rsidRPr="00027494">
                    <w:rPr>
                      <w:rFonts w:cs="Arial"/>
                      <w:sz w:val="12"/>
                      <w:szCs w:val="14"/>
                    </w:rPr>
                    <w:t>50</w:t>
                  </w:r>
                </w:p>
              </w:tc>
              <w:tc>
                <w:tcPr>
                  <w:tcW w:w="400" w:type="pct"/>
                  <w:shd w:val="clear" w:color="auto" w:fill="E5B8B7"/>
                </w:tcPr>
                <w:p w14:paraId="7F1143D2" w14:textId="3FA2C5DD" w:rsidR="007C6279" w:rsidRPr="00027494" w:rsidRDefault="007C6279" w:rsidP="005260A9">
                  <w:pPr>
                    <w:jc w:val="center"/>
                    <w:rPr>
                      <w:rFonts w:cs="Arial"/>
                      <w:sz w:val="12"/>
                      <w:szCs w:val="14"/>
                    </w:rPr>
                  </w:pPr>
                  <w:r w:rsidRPr="00027494">
                    <w:rPr>
                      <w:rFonts w:cs="Arial"/>
                      <w:sz w:val="12"/>
                      <w:szCs w:val="14"/>
                    </w:rPr>
                    <w:t>202</w:t>
                  </w:r>
                  <w:r w:rsidR="005260A9" w:rsidRPr="00027494">
                    <w:rPr>
                      <w:rFonts w:cs="Arial"/>
                      <w:sz w:val="12"/>
                      <w:szCs w:val="14"/>
                    </w:rPr>
                    <w:t>2</w:t>
                  </w:r>
                </w:p>
              </w:tc>
            </w:tr>
            <w:tr w:rsidR="00F63586" w:rsidRPr="00403DF2" w14:paraId="601F5FE5" w14:textId="77777777" w:rsidTr="00F63586">
              <w:trPr>
                <w:trHeight w:val="227"/>
              </w:trPr>
              <w:tc>
                <w:tcPr>
                  <w:tcW w:w="852" w:type="pct"/>
                  <w:tcBorders>
                    <w:left w:val="single" w:sz="4" w:space="0" w:color="FFFFFF"/>
                  </w:tcBorders>
                  <w:shd w:val="clear" w:color="auto" w:fill="C0504D"/>
                </w:tcPr>
                <w:p w14:paraId="1640EDE6"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Tianqi Lithium</w:t>
                  </w:r>
                </w:p>
              </w:tc>
              <w:tc>
                <w:tcPr>
                  <w:tcW w:w="1222" w:type="pct"/>
                  <w:shd w:val="clear" w:color="auto" w:fill="F2DBDB"/>
                </w:tcPr>
                <w:p w14:paraId="53F33DA9" w14:textId="77777777" w:rsidR="007C6279" w:rsidRPr="00027494" w:rsidRDefault="007C6279" w:rsidP="00F63586">
                  <w:pPr>
                    <w:jc w:val="left"/>
                    <w:rPr>
                      <w:rFonts w:cs="Arial"/>
                      <w:sz w:val="12"/>
                      <w:szCs w:val="14"/>
                    </w:rPr>
                  </w:pPr>
                  <w:r w:rsidRPr="00027494">
                    <w:rPr>
                      <w:rFonts w:cs="Arial"/>
                      <w:sz w:val="12"/>
                      <w:szCs w:val="14"/>
                    </w:rPr>
                    <w:t>Kwinana plant (train 2) [on hold]</w:t>
                  </w:r>
                </w:p>
              </w:tc>
              <w:tc>
                <w:tcPr>
                  <w:tcW w:w="865" w:type="pct"/>
                  <w:shd w:val="clear" w:color="auto" w:fill="F2DBDB"/>
                </w:tcPr>
                <w:p w14:paraId="35916392" w14:textId="77777777" w:rsidR="007C6279" w:rsidRPr="00027494" w:rsidRDefault="007C6279" w:rsidP="00F63586">
                  <w:pPr>
                    <w:jc w:val="left"/>
                    <w:rPr>
                      <w:rFonts w:cs="Arial"/>
                      <w:sz w:val="12"/>
                      <w:szCs w:val="14"/>
                    </w:rPr>
                  </w:pPr>
                  <w:r w:rsidRPr="00027494">
                    <w:rPr>
                      <w:rFonts w:cs="Arial"/>
                      <w:sz w:val="12"/>
                      <w:szCs w:val="14"/>
                    </w:rPr>
                    <w:t>Lithium hydroxide</w:t>
                  </w:r>
                </w:p>
              </w:tc>
              <w:tc>
                <w:tcPr>
                  <w:tcW w:w="798" w:type="pct"/>
                  <w:shd w:val="clear" w:color="auto" w:fill="F2DBDB"/>
                </w:tcPr>
                <w:p w14:paraId="25A5B673" w14:textId="77777777" w:rsidR="007C6279" w:rsidRPr="00027494" w:rsidRDefault="007C6279" w:rsidP="00F63586">
                  <w:pPr>
                    <w:jc w:val="left"/>
                    <w:rPr>
                      <w:rFonts w:cs="Arial"/>
                      <w:sz w:val="12"/>
                      <w:szCs w:val="14"/>
                    </w:rPr>
                  </w:pPr>
                  <w:r w:rsidRPr="00027494">
                    <w:rPr>
                      <w:rFonts w:cs="Arial"/>
                      <w:sz w:val="12"/>
                      <w:szCs w:val="14"/>
                    </w:rPr>
                    <w:t>Perth</w:t>
                  </w:r>
                </w:p>
              </w:tc>
              <w:tc>
                <w:tcPr>
                  <w:tcW w:w="399" w:type="pct"/>
                  <w:shd w:val="clear" w:color="auto" w:fill="F2DBDB"/>
                </w:tcPr>
                <w:p w14:paraId="61552E85" w14:textId="77777777" w:rsidR="007C6279" w:rsidRPr="00027494" w:rsidRDefault="007C6279" w:rsidP="00F63586">
                  <w:pPr>
                    <w:jc w:val="center"/>
                    <w:rPr>
                      <w:rFonts w:cs="Arial"/>
                      <w:sz w:val="12"/>
                      <w:szCs w:val="14"/>
                    </w:rPr>
                  </w:pPr>
                  <w:r w:rsidRPr="00027494">
                    <w:rPr>
                      <w:rFonts w:cs="Arial"/>
                      <w:sz w:val="12"/>
                      <w:szCs w:val="14"/>
                    </w:rPr>
                    <w:t>300</w:t>
                  </w:r>
                </w:p>
              </w:tc>
              <w:tc>
                <w:tcPr>
                  <w:tcW w:w="464" w:type="pct"/>
                  <w:shd w:val="clear" w:color="auto" w:fill="F2DBDB"/>
                </w:tcPr>
                <w:p w14:paraId="1BE68EDE" w14:textId="77777777" w:rsidR="007C6279" w:rsidRPr="00027494" w:rsidRDefault="007C6279" w:rsidP="00F63586">
                  <w:pPr>
                    <w:jc w:val="center"/>
                    <w:rPr>
                      <w:rFonts w:cs="Arial"/>
                      <w:sz w:val="12"/>
                      <w:szCs w:val="14"/>
                    </w:rPr>
                  </w:pPr>
                  <w:r w:rsidRPr="00027494">
                    <w:rPr>
                      <w:rFonts w:cs="Arial"/>
                      <w:sz w:val="12"/>
                      <w:szCs w:val="14"/>
                    </w:rPr>
                    <w:t>24</w:t>
                  </w:r>
                </w:p>
              </w:tc>
              <w:tc>
                <w:tcPr>
                  <w:tcW w:w="400" w:type="pct"/>
                  <w:shd w:val="clear" w:color="auto" w:fill="F2DBDB"/>
                </w:tcPr>
                <w:p w14:paraId="7703995C" w14:textId="75F14FBE" w:rsidR="007C6279" w:rsidRPr="00027494" w:rsidRDefault="007C6279" w:rsidP="00B66E51">
                  <w:pPr>
                    <w:jc w:val="center"/>
                    <w:rPr>
                      <w:rFonts w:cs="Arial"/>
                      <w:sz w:val="12"/>
                      <w:szCs w:val="14"/>
                    </w:rPr>
                  </w:pPr>
                  <w:r w:rsidRPr="00027494">
                    <w:rPr>
                      <w:rFonts w:cs="Arial"/>
                      <w:sz w:val="12"/>
                      <w:szCs w:val="14"/>
                    </w:rPr>
                    <w:t>202</w:t>
                  </w:r>
                  <w:r w:rsidR="00B66E51" w:rsidRPr="00027494">
                    <w:rPr>
                      <w:rFonts w:cs="Arial"/>
                      <w:sz w:val="12"/>
                      <w:szCs w:val="14"/>
                    </w:rPr>
                    <w:t>3</w:t>
                  </w:r>
                </w:p>
              </w:tc>
            </w:tr>
            <w:tr w:rsidR="00F63586" w:rsidRPr="00403DF2" w14:paraId="3D67899D" w14:textId="77777777" w:rsidTr="00F63586">
              <w:trPr>
                <w:trHeight w:val="227"/>
              </w:trPr>
              <w:tc>
                <w:tcPr>
                  <w:tcW w:w="852" w:type="pct"/>
                  <w:tcBorders>
                    <w:left w:val="single" w:sz="4" w:space="0" w:color="FFFFFF"/>
                  </w:tcBorders>
                  <w:shd w:val="clear" w:color="auto" w:fill="C0504D"/>
                </w:tcPr>
                <w:p w14:paraId="2EAECF9A"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Talison Lithium^</w:t>
                  </w:r>
                </w:p>
              </w:tc>
              <w:tc>
                <w:tcPr>
                  <w:tcW w:w="1222" w:type="pct"/>
                  <w:shd w:val="clear" w:color="auto" w:fill="E5B8B7"/>
                </w:tcPr>
                <w:p w14:paraId="035F00A5" w14:textId="77777777" w:rsidR="007C6279" w:rsidRPr="00027494" w:rsidRDefault="007C6279" w:rsidP="00F63586">
                  <w:pPr>
                    <w:jc w:val="left"/>
                    <w:rPr>
                      <w:rFonts w:cs="Arial"/>
                      <w:sz w:val="12"/>
                      <w:szCs w:val="14"/>
                    </w:rPr>
                  </w:pPr>
                  <w:r w:rsidRPr="00027494">
                    <w:rPr>
                      <w:rFonts w:cs="Arial"/>
                      <w:sz w:val="12"/>
                      <w:szCs w:val="14"/>
                    </w:rPr>
                    <w:t>Greenbushes mine expansion (CGP3, debottlenecking &amp; tailings retreatment plant) [on hold except for tailings plant]</w:t>
                  </w:r>
                </w:p>
              </w:tc>
              <w:tc>
                <w:tcPr>
                  <w:tcW w:w="865" w:type="pct"/>
                  <w:shd w:val="clear" w:color="auto" w:fill="E5B8B7"/>
                </w:tcPr>
                <w:p w14:paraId="6EA8682B" w14:textId="77777777" w:rsidR="007C6279" w:rsidRPr="00027494" w:rsidRDefault="007C6279" w:rsidP="00F63586">
                  <w:pPr>
                    <w:jc w:val="left"/>
                    <w:rPr>
                      <w:rFonts w:cs="Arial"/>
                      <w:sz w:val="12"/>
                      <w:szCs w:val="14"/>
                    </w:rPr>
                  </w:pPr>
                  <w:r w:rsidRPr="00027494">
                    <w:rPr>
                      <w:rFonts w:cs="Arial"/>
                      <w:bCs/>
                      <w:sz w:val="12"/>
                      <w:szCs w:val="14"/>
                    </w:rPr>
                    <w:t>Lithium concentrate</w:t>
                  </w:r>
                </w:p>
              </w:tc>
              <w:tc>
                <w:tcPr>
                  <w:tcW w:w="798" w:type="pct"/>
                  <w:shd w:val="clear" w:color="auto" w:fill="E5B8B7"/>
                </w:tcPr>
                <w:p w14:paraId="4DB13C98" w14:textId="77777777" w:rsidR="007C6279" w:rsidRPr="00027494" w:rsidRDefault="007C6279" w:rsidP="00F63586">
                  <w:pPr>
                    <w:jc w:val="left"/>
                    <w:rPr>
                      <w:rFonts w:cs="Arial"/>
                      <w:sz w:val="12"/>
                      <w:szCs w:val="14"/>
                    </w:rPr>
                  </w:pPr>
                  <w:r w:rsidRPr="00027494">
                    <w:rPr>
                      <w:rFonts w:cs="Arial"/>
                      <w:sz w:val="12"/>
                      <w:szCs w:val="14"/>
                    </w:rPr>
                    <w:t>South West</w:t>
                  </w:r>
                </w:p>
              </w:tc>
              <w:tc>
                <w:tcPr>
                  <w:tcW w:w="399" w:type="pct"/>
                  <w:shd w:val="clear" w:color="auto" w:fill="E5B8B7"/>
                </w:tcPr>
                <w:p w14:paraId="236E808B" w14:textId="77777777" w:rsidR="007C6279" w:rsidRPr="00027494" w:rsidRDefault="007C6279" w:rsidP="00F63586">
                  <w:pPr>
                    <w:jc w:val="center"/>
                    <w:rPr>
                      <w:rFonts w:cs="Arial"/>
                      <w:sz w:val="12"/>
                      <w:szCs w:val="14"/>
                    </w:rPr>
                  </w:pPr>
                  <w:r w:rsidRPr="00027494">
                    <w:rPr>
                      <w:rFonts w:cs="Arial"/>
                      <w:sz w:val="12"/>
                      <w:szCs w:val="14"/>
                    </w:rPr>
                    <w:t>516</w:t>
                  </w:r>
                </w:p>
              </w:tc>
              <w:tc>
                <w:tcPr>
                  <w:tcW w:w="464" w:type="pct"/>
                  <w:shd w:val="clear" w:color="auto" w:fill="E5B8B7"/>
                </w:tcPr>
                <w:p w14:paraId="6146087F" w14:textId="77777777" w:rsidR="007C6279" w:rsidRPr="00027494" w:rsidRDefault="007C6279" w:rsidP="00F63586">
                  <w:pPr>
                    <w:jc w:val="center"/>
                    <w:rPr>
                      <w:rFonts w:cs="Arial"/>
                      <w:sz w:val="12"/>
                      <w:szCs w:val="14"/>
                    </w:rPr>
                  </w:pPr>
                  <w:r w:rsidRPr="00027494">
                    <w:rPr>
                      <w:rFonts w:cs="Arial"/>
                      <w:sz w:val="12"/>
                      <w:szCs w:val="14"/>
                    </w:rPr>
                    <w:t>608</w:t>
                  </w:r>
                </w:p>
              </w:tc>
              <w:tc>
                <w:tcPr>
                  <w:tcW w:w="400" w:type="pct"/>
                  <w:shd w:val="clear" w:color="auto" w:fill="E5B8B7"/>
                </w:tcPr>
                <w:p w14:paraId="56C0CC39" w14:textId="77777777" w:rsidR="007C6279" w:rsidRPr="00027494" w:rsidRDefault="007C6279" w:rsidP="00F63586">
                  <w:pPr>
                    <w:jc w:val="center"/>
                    <w:rPr>
                      <w:rFonts w:cs="Arial"/>
                      <w:sz w:val="12"/>
                      <w:szCs w:val="14"/>
                    </w:rPr>
                  </w:pPr>
                  <w:r w:rsidRPr="00027494">
                    <w:rPr>
                      <w:rFonts w:cs="Arial"/>
                      <w:sz w:val="12"/>
                      <w:szCs w:val="14"/>
                    </w:rPr>
                    <w:t>2024</w:t>
                  </w:r>
                </w:p>
              </w:tc>
            </w:tr>
            <w:tr w:rsidR="00F63586" w:rsidRPr="00403DF2" w14:paraId="0B38827A" w14:textId="77777777" w:rsidTr="00F63586">
              <w:trPr>
                <w:trHeight w:val="227"/>
              </w:trPr>
              <w:tc>
                <w:tcPr>
                  <w:tcW w:w="852" w:type="pct"/>
                  <w:tcBorders>
                    <w:left w:val="single" w:sz="4" w:space="0" w:color="FFFFFF"/>
                  </w:tcBorders>
                  <w:shd w:val="clear" w:color="auto" w:fill="C0504D"/>
                </w:tcPr>
                <w:p w14:paraId="48171CE2" w14:textId="77777777" w:rsidR="007C6279" w:rsidRPr="00F63586" w:rsidRDefault="007C6279" w:rsidP="00F63586">
                  <w:pPr>
                    <w:jc w:val="left"/>
                    <w:rPr>
                      <w:rFonts w:cs="Arial"/>
                      <w:b/>
                      <w:bCs/>
                      <w:color w:val="FFFFFF"/>
                      <w:sz w:val="12"/>
                      <w:szCs w:val="14"/>
                    </w:rPr>
                  </w:pPr>
                  <w:r w:rsidRPr="00F63586">
                    <w:rPr>
                      <w:rFonts w:cs="Arial"/>
                      <w:bCs/>
                      <w:color w:val="FFFFFF"/>
                      <w:sz w:val="12"/>
                      <w:szCs w:val="14"/>
                    </w:rPr>
                    <w:t>Talison Lithium^</w:t>
                  </w:r>
                </w:p>
              </w:tc>
              <w:tc>
                <w:tcPr>
                  <w:tcW w:w="1222" w:type="pct"/>
                  <w:shd w:val="clear" w:color="auto" w:fill="F2DBDB"/>
                </w:tcPr>
                <w:p w14:paraId="39BBE391" w14:textId="77777777" w:rsidR="007C6279" w:rsidRPr="00027494" w:rsidRDefault="007C6279" w:rsidP="00F63586">
                  <w:pPr>
                    <w:jc w:val="left"/>
                    <w:rPr>
                      <w:rFonts w:cs="Arial"/>
                      <w:sz w:val="12"/>
                      <w:szCs w:val="14"/>
                    </w:rPr>
                  </w:pPr>
                  <w:r w:rsidRPr="00027494">
                    <w:rPr>
                      <w:rFonts w:cs="Arial"/>
                      <w:sz w:val="12"/>
                      <w:szCs w:val="14"/>
                    </w:rPr>
                    <w:t>Greenbushes mine expansion (CGP4) [on hold]</w:t>
                  </w:r>
                </w:p>
              </w:tc>
              <w:tc>
                <w:tcPr>
                  <w:tcW w:w="865" w:type="pct"/>
                  <w:shd w:val="clear" w:color="auto" w:fill="F2DBDB"/>
                </w:tcPr>
                <w:p w14:paraId="781606DE" w14:textId="77777777" w:rsidR="007C6279" w:rsidRPr="00027494" w:rsidRDefault="007C6279" w:rsidP="00F63586">
                  <w:pPr>
                    <w:jc w:val="left"/>
                    <w:rPr>
                      <w:rFonts w:cs="Arial"/>
                      <w:sz w:val="12"/>
                      <w:szCs w:val="14"/>
                    </w:rPr>
                  </w:pPr>
                  <w:r w:rsidRPr="00027494">
                    <w:rPr>
                      <w:rFonts w:cs="Arial"/>
                      <w:bCs/>
                      <w:sz w:val="12"/>
                      <w:szCs w:val="14"/>
                    </w:rPr>
                    <w:t>Lithium concentrate</w:t>
                  </w:r>
                </w:p>
              </w:tc>
              <w:tc>
                <w:tcPr>
                  <w:tcW w:w="798" w:type="pct"/>
                  <w:shd w:val="clear" w:color="auto" w:fill="F2DBDB"/>
                </w:tcPr>
                <w:p w14:paraId="001260A6" w14:textId="77777777" w:rsidR="007C6279" w:rsidRPr="00027494" w:rsidRDefault="007C6279" w:rsidP="00F63586">
                  <w:pPr>
                    <w:jc w:val="left"/>
                    <w:rPr>
                      <w:rFonts w:cs="Arial"/>
                      <w:sz w:val="12"/>
                      <w:szCs w:val="14"/>
                    </w:rPr>
                  </w:pPr>
                  <w:r w:rsidRPr="00027494">
                    <w:rPr>
                      <w:rFonts w:cs="Arial"/>
                      <w:sz w:val="12"/>
                      <w:szCs w:val="14"/>
                    </w:rPr>
                    <w:t>South West</w:t>
                  </w:r>
                </w:p>
              </w:tc>
              <w:tc>
                <w:tcPr>
                  <w:tcW w:w="399" w:type="pct"/>
                  <w:shd w:val="clear" w:color="auto" w:fill="F2DBDB"/>
                </w:tcPr>
                <w:p w14:paraId="5C12664B" w14:textId="77777777" w:rsidR="007C6279" w:rsidRPr="00027494" w:rsidRDefault="007C6279" w:rsidP="00F63586">
                  <w:pPr>
                    <w:jc w:val="center"/>
                    <w:rPr>
                      <w:rFonts w:cs="Arial"/>
                      <w:sz w:val="12"/>
                      <w:szCs w:val="14"/>
                    </w:rPr>
                  </w:pPr>
                  <w:r w:rsidRPr="00027494">
                    <w:rPr>
                      <w:rFonts w:cs="Arial"/>
                      <w:sz w:val="12"/>
                      <w:szCs w:val="14"/>
                    </w:rPr>
                    <w:t>250</w:t>
                  </w:r>
                </w:p>
              </w:tc>
              <w:tc>
                <w:tcPr>
                  <w:tcW w:w="464" w:type="pct"/>
                  <w:shd w:val="clear" w:color="auto" w:fill="F2DBDB"/>
                </w:tcPr>
                <w:p w14:paraId="48EB289C" w14:textId="77777777" w:rsidR="007C6279" w:rsidRPr="00027494" w:rsidRDefault="007C6279" w:rsidP="00F63586">
                  <w:pPr>
                    <w:jc w:val="center"/>
                    <w:rPr>
                      <w:rFonts w:cs="Arial"/>
                      <w:sz w:val="12"/>
                      <w:szCs w:val="14"/>
                    </w:rPr>
                  </w:pPr>
                  <w:r w:rsidRPr="00027494">
                    <w:rPr>
                      <w:rFonts w:cs="Arial"/>
                      <w:sz w:val="12"/>
                      <w:szCs w:val="14"/>
                    </w:rPr>
                    <w:t>520</w:t>
                  </w:r>
                </w:p>
              </w:tc>
              <w:tc>
                <w:tcPr>
                  <w:tcW w:w="400" w:type="pct"/>
                  <w:shd w:val="clear" w:color="auto" w:fill="F2DBDB"/>
                </w:tcPr>
                <w:p w14:paraId="0081B63A" w14:textId="77777777" w:rsidR="007C6279" w:rsidRPr="00027494" w:rsidRDefault="007C6279" w:rsidP="00F63586">
                  <w:pPr>
                    <w:jc w:val="center"/>
                    <w:rPr>
                      <w:rFonts w:cs="Arial"/>
                      <w:sz w:val="12"/>
                      <w:szCs w:val="14"/>
                    </w:rPr>
                  </w:pPr>
                  <w:r w:rsidRPr="00027494">
                    <w:rPr>
                      <w:rFonts w:cs="Arial"/>
                      <w:sz w:val="12"/>
                      <w:szCs w:val="14"/>
                    </w:rPr>
                    <w:t>2026</w:t>
                  </w:r>
                </w:p>
              </w:tc>
            </w:tr>
            <w:tr w:rsidR="00F63586" w:rsidRPr="00403DF2" w14:paraId="74580826" w14:textId="77777777" w:rsidTr="00F63586">
              <w:trPr>
                <w:trHeight w:val="227"/>
              </w:trPr>
              <w:tc>
                <w:tcPr>
                  <w:tcW w:w="852" w:type="pct"/>
                  <w:tcBorders>
                    <w:left w:val="single" w:sz="4" w:space="0" w:color="FFFFFF"/>
                  </w:tcBorders>
                  <w:shd w:val="clear" w:color="auto" w:fill="C0504D"/>
                </w:tcPr>
                <w:p w14:paraId="11F226AA" w14:textId="77777777" w:rsidR="007C6279" w:rsidRPr="00F63586" w:rsidRDefault="007C6279" w:rsidP="00F63586">
                  <w:pPr>
                    <w:jc w:val="left"/>
                    <w:rPr>
                      <w:rFonts w:cs="Arial"/>
                      <w:b/>
                      <w:bCs/>
                      <w:i/>
                      <w:color w:val="FFFFFF"/>
                      <w:sz w:val="12"/>
                      <w:szCs w:val="14"/>
                    </w:rPr>
                  </w:pPr>
                  <w:r w:rsidRPr="00F63586">
                    <w:rPr>
                      <w:rFonts w:cs="Arial"/>
                      <w:b/>
                      <w:bCs/>
                      <w:i/>
                      <w:color w:val="FFFFFF"/>
                      <w:sz w:val="14"/>
                      <w:szCs w:val="14"/>
                    </w:rPr>
                    <w:t>Nickel, cobalt</w:t>
                  </w:r>
                </w:p>
              </w:tc>
              <w:tc>
                <w:tcPr>
                  <w:tcW w:w="1222" w:type="pct"/>
                  <w:shd w:val="clear" w:color="auto" w:fill="E5B8B7"/>
                </w:tcPr>
                <w:p w14:paraId="11C20A69" w14:textId="77777777" w:rsidR="007C6279" w:rsidRPr="00027494" w:rsidRDefault="007C6279" w:rsidP="00F63586">
                  <w:pPr>
                    <w:jc w:val="left"/>
                    <w:rPr>
                      <w:rFonts w:cs="Arial"/>
                      <w:sz w:val="12"/>
                      <w:szCs w:val="14"/>
                    </w:rPr>
                  </w:pPr>
                </w:p>
              </w:tc>
              <w:tc>
                <w:tcPr>
                  <w:tcW w:w="865" w:type="pct"/>
                  <w:shd w:val="clear" w:color="auto" w:fill="E5B8B7"/>
                </w:tcPr>
                <w:p w14:paraId="5C161447" w14:textId="77777777" w:rsidR="007C6279" w:rsidRPr="00027494" w:rsidRDefault="007C6279" w:rsidP="00F63586">
                  <w:pPr>
                    <w:jc w:val="left"/>
                    <w:rPr>
                      <w:rFonts w:cs="Arial"/>
                      <w:sz w:val="12"/>
                      <w:szCs w:val="14"/>
                    </w:rPr>
                  </w:pPr>
                </w:p>
              </w:tc>
              <w:tc>
                <w:tcPr>
                  <w:tcW w:w="798" w:type="pct"/>
                  <w:shd w:val="clear" w:color="auto" w:fill="E5B8B7"/>
                </w:tcPr>
                <w:p w14:paraId="5614DDD7" w14:textId="77777777" w:rsidR="007C6279" w:rsidRPr="00027494" w:rsidRDefault="007C6279" w:rsidP="00F63586">
                  <w:pPr>
                    <w:jc w:val="left"/>
                    <w:rPr>
                      <w:rFonts w:cs="Arial"/>
                      <w:sz w:val="12"/>
                      <w:szCs w:val="14"/>
                    </w:rPr>
                  </w:pPr>
                </w:p>
              </w:tc>
              <w:tc>
                <w:tcPr>
                  <w:tcW w:w="399" w:type="pct"/>
                  <w:shd w:val="clear" w:color="auto" w:fill="E5B8B7"/>
                </w:tcPr>
                <w:p w14:paraId="798F74CB" w14:textId="77777777" w:rsidR="007C6279" w:rsidRPr="00027494" w:rsidRDefault="007C6279" w:rsidP="00F63586">
                  <w:pPr>
                    <w:jc w:val="center"/>
                    <w:rPr>
                      <w:rFonts w:cs="Arial"/>
                      <w:sz w:val="12"/>
                      <w:szCs w:val="14"/>
                    </w:rPr>
                  </w:pPr>
                </w:p>
              </w:tc>
              <w:tc>
                <w:tcPr>
                  <w:tcW w:w="464" w:type="pct"/>
                  <w:shd w:val="clear" w:color="auto" w:fill="E5B8B7"/>
                </w:tcPr>
                <w:p w14:paraId="0F807AF9" w14:textId="77777777" w:rsidR="007C6279" w:rsidRPr="00027494" w:rsidRDefault="007C6279" w:rsidP="00F63586">
                  <w:pPr>
                    <w:jc w:val="center"/>
                    <w:rPr>
                      <w:rFonts w:cs="Arial"/>
                      <w:sz w:val="12"/>
                      <w:szCs w:val="14"/>
                    </w:rPr>
                  </w:pPr>
                </w:p>
              </w:tc>
              <w:tc>
                <w:tcPr>
                  <w:tcW w:w="400" w:type="pct"/>
                  <w:shd w:val="clear" w:color="auto" w:fill="E5B8B7"/>
                </w:tcPr>
                <w:p w14:paraId="4EFA533C" w14:textId="77777777" w:rsidR="007C6279" w:rsidRPr="00027494" w:rsidRDefault="007C6279" w:rsidP="00F63586">
                  <w:pPr>
                    <w:jc w:val="center"/>
                    <w:rPr>
                      <w:rFonts w:cs="Arial"/>
                      <w:sz w:val="12"/>
                      <w:szCs w:val="14"/>
                    </w:rPr>
                  </w:pPr>
                </w:p>
              </w:tc>
            </w:tr>
            <w:tr w:rsidR="00182A97" w:rsidRPr="00403DF2" w14:paraId="33E870C1" w14:textId="77777777" w:rsidTr="00F63586">
              <w:trPr>
                <w:trHeight w:val="227"/>
              </w:trPr>
              <w:tc>
                <w:tcPr>
                  <w:tcW w:w="852" w:type="pct"/>
                  <w:tcBorders>
                    <w:left w:val="single" w:sz="4" w:space="0" w:color="FFFFFF"/>
                  </w:tcBorders>
                  <w:shd w:val="clear" w:color="auto" w:fill="C0504D"/>
                </w:tcPr>
                <w:p w14:paraId="703D9476" w14:textId="77777777" w:rsidR="00182A97" w:rsidRPr="00F63586" w:rsidRDefault="00182A97" w:rsidP="00182A97">
                  <w:pPr>
                    <w:jc w:val="left"/>
                    <w:rPr>
                      <w:rFonts w:cs="Arial"/>
                      <w:b/>
                      <w:bCs/>
                      <w:color w:val="FFFFFF"/>
                      <w:sz w:val="12"/>
                      <w:szCs w:val="14"/>
                    </w:rPr>
                  </w:pPr>
                  <w:r w:rsidRPr="00F63586">
                    <w:rPr>
                      <w:rFonts w:cs="Arial"/>
                      <w:bCs/>
                      <w:color w:val="FFFFFF"/>
                      <w:sz w:val="12"/>
                      <w:szCs w:val="14"/>
                    </w:rPr>
                    <w:t>BHP</w:t>
                  </w:r>
                </w:p>
              </w:tc>
              <w:tc>
                <w:tcPr>
                  <w:tcW w:w="1222" w:type="pct"/>
                  <w:shd w:val="clear" w:color="auto" w:fill="F2DBDB"/>
                </w:tcPr>
                <w:p w14:paraId="05755A0C" w14:textId="4F06F1C0" w:rsidR="00182A97" w:rsidRPr="00027494" w:rsidRDefault="00182A97" w:rsidP="00182A97">
                  <w:pPr>
                    <w:jc w:val="left"/>
                    <w:rPr>
                      <w:rFonts w:cs="Arial"/>
                      <w:sz w:val="12"/>
                      <w:szCs w:val="14"/>
                    </w:rPr>
                  </w:pPr>
                  <w:r w:rsidRPr="00027494">
                    <w:rPr>
                      <w:rFonts w:cs="Arial"/>
                      <w:sz w:val="12"/>
                      <w:szCs w:val="14"/>
                    </w:rPr>
                    <w:t>Nickel West/Leinster (B11) mine expansion</w:t>
                  </w:r>
                </w:p>
              </w:tc>
              <w:tc>
                <w:tcPr>
                  <w:tcW w:w="865" w:type="pct"/>
                  <w:shd w:val="clear" w:color="auto" w:fill="F2DBDB"/>
                </w:tcPr>
                <w:p w14:paraId="020C367C" w14:textId="5875294A" w:rsidR="00182A97" w:rsidRPr="00027494" w:rsidRDefault="00182A97" w:rsidP="00182A97">
                  <w:pPr>
                    <w:jc w:val="left"/>
                    <w:rPr>
                      <w:rFonts w:cs="Arial"/>
                      <w:sz w:val="12"/>
                      <w:szCs w:val="14"/>
                    </w:rPr>
                  </w:pPr>
                  <w:r w:rsidRPr="00027494">
                    <w:rPr>
                      <w:rFonts w:cs="Arial"/>
                      <w:sz w:val="12"/>
                      <w:szCs w:val="14"/>
                    </w:rPr>
                    <w:t>Nickel ore</w:t>
                  </w:r>
                </w:p>
              </w:tc>
              <w:tc>
                <w:tcPr>
                  <w:tcW w:w="798" w:type="pct"/>
                  <w:shd w:val="clear" w:color="auto" w:fill="F2DBDB"/>
                </w:tcPr>
                <w:p w14:paraId="2992E866" w14:textId="21BDF438" w:rsidR="00182A97" w:rsidRPr="00027494" w:rsidRDefault="00182A97" w:rsidP="00182A97">
                  <w:pPr>
                    <w:jc w:val="left"/>
                    <w:rPr>
                      <w:rFonts w:cs="Arial"/>
                      <w:sz w:val="12"/>
                      <w:szCs w:val="14"/>
                    </w:rPr>
                  </w:pPr>
                  <w:r w:rsidRPr="00027494">
                    <w:rPr>
                      <w:rFonts w:cs="Arial"/>
                      <w:sz w:val="12"/>
                      <w:szCs w:val="14"/>
                    </w:rPr>
                    <w:t>Goldfields-Esperance</w:t>
                  </w:r>
                </w:p>
              </w:tc>
              <w:tc>
                <w:tcPr>
                  <w:tcW w:w="399" w:type="pct"/>
                  <w:shd w:val="clear" w:color="auto" w:fill="F2DBDB"/>
                </w:tcPr>
                <w:p w14:paraId="03EA5120" w14:textId="0F4ED73F" w:rsidR="00182A97" w:rsidRPr="00027494" w:rsidRDefault="00182A97" w:rsidP="00182A97">
                  <w:pPr>
                    <w:jc w:val="center"/>
                    <w:rPr>
                      <w:rFonts w:cs="Arial"/>
                      <w:sz w:val="12"/>
                      <w:szCs w:val="14"/>
                    </w:rPr>
                  </w:pPr>
                  <w:r w:rsidRPr="00027494">
                    <w:rPr>
                      <w:rFonts w:cs="Arial"/>
                      <w:sz w:val="12"/>
                      <w:szCs w:val="14"/>
                    </w:rPr>
                    <w:t>190</w:t>
                  </w:r>
                </w:p>
              </w:tc>
              <w:tc>
                <w:tcPr>
                  <w:tcW w:w="464" w:type="pct"/>
                  <w:shd w:val="clear" w:color="auto" w:fill="F2DBDB"/>
                </w:tcPr>
                <w:p w14:paraId="4F36E85B" w14:textId="5EA449A0" w:rsidR="00182A97" w:rsidRPr="00027494" w:rsidRDefault="00182A97" w:rsidP="00182A97">
                  <w:pPr>
                    <w:jc w:val="center"/>
                    <w:rPr>
                      <w:rFonts w:cs="Arial"/>
                      <w:sz w:val="12"/>
                      <w:szCs w:val="14"/>
                    </w:rPr>
                  </w:pPr>
                  <w:r w:rsidRPr="00027494">
                    <w:rPr>
                      <w:rFonts w:cs="Arial"/>
                      <w:sz w:val="12"/>
                      <w:szCs w:val="14"/>
                    </w:rPr>
                    <w:t>600-1,000</w:t>
                  </w:r>
                </w:p>
              </w:tc>
              <w:tc>
                <w:tcPr>
                  <w:tcW w:w="400" w:type="pct"/>
                  <w:shd w:val="clear" w:color="auto" w:fill="F2DBDB"/>
                </w:tcPr>
                <w:p w14:paraId="087CB996" w14:textId="5FA972BD" w:rsidR="00182A97" w:rsidRPr="00182A97" w:rsidRDefault="00182A97" w:rsidP="00182A97">
                  <w:pPr>
                    <w:jc w:val="center"/>
                    <w:rPr>
                      <w:rFonts w:cs="Arial"/>
                      <w:color w:val="FF0000"/>
                      <w:sz w:val="12"/>
                      <w:szCs w:val="14"/>
                    </w:rPr>
                  </w:pPr>
                  <w:r w:rsidRPr="00027494">
                    <w:rPr>
                      <w:rFonts w:cs="Arial"/>
                      <w:sz w:val="12"/>
                      <w:szCs w:val="14"/>
                    </w:rPr>
                    <w:t>2020</w:t>
                  </w:r>
                </w:p>
              </w:tc>
            </w:tr>
            <w:tr w:rsidR="00182A97" w:rsidRPr="00403DF2" w14:paraId="6215B019" w14:textId="77777777" w:rsidTr="00F63586">
              <w:trPr>
                <w:trHeight w:val="227"/>
              </w:trPr>
              <w:tc>
                <w:tcPr>
                  <w:tcW w:w="852" w:type="pct"/>
                  <w:tcBorders>
                    <w:left w:val="single" w:sz="4" w:space="0" w:color="FFFFFF"/>
                  </w:tcBorders>
                  <w:shd w:val="clear" w:color="auto" w:fill="C0504D"/>
                </w:tcPr>
                <w:p w14:paraId="773A7DF7" w14:textId="77777777" w:rsidR="00182A97" w:rsidRPr="00F63586" w:rsidRDefault="00182A97" w:rsidP="00182A97">
                  <w:pPr>
                    <w:jc w:val="left"/>
                    <w:rPr>
                      <w:rFonts w:cs="Arial"/>
                      <w:b/>
                      <w:bCs/>
                      <w:color w:val="FFFFFF"/>
                      <w:sz w:val="12"/>
                      <w:szCs w:val="14"/>
                    </w:rPr>
                  </w:pPr>
                  <w:r w:rsidRPr="00F63586">
                    <w:rPr>
                      <w:rFonts w:cs="Arial"/>
                      <w:bCs/>
                      <w:color w:val="FFFFFF"/>
                      <w:sz w:val="12"/>
                      <w:szCs w:val="14"/>
                    </w:rPr>
                    <w:t>BHP</w:t>
                  </w:r>
                </w:p>
              </w:tc>
              <w:tc>
                <w:tcPr>
                  <w:tcW w:w="1222" w:type="pct"/>
                  <w:shd w:val="clear" w:color="auto" w:fill="E5B8B7"/>
                </w:tcPr>
                <w:p w14:paraId="19FF757A" w14:textId="096A5061" w:rsidR="00182A97" w:rsidRPr="00027494" w:rsidRDefault="00182A97" w:rsidP="00182A97">
                  <w:pPr>
                    <w:jc w:val="left"/>
                    <w:rPr>
                      <w:rFonts w:cs="Arial"/>
                      <w:sz w:val="12"/>
                      <w:szCs w:val="14"/>
                    </w:rPr>
                  </w:pPr>
                  <w:r w:rsidRPr="00027494">
                    <w:rPr>
                      <w:rFonts w:cs="Arial"/>
                      <w:sz w:val="12"/>
                      <w:szCs w:val="14"/>
                    </w:rPr>
                    <w:t>Nickel West/Kwinana plant (stage 1)</w:t>
                  </w:r>
                </w:p>
              </w:tc>
              <w:tc>
                <w:tcPr>
                  <w:tcW w:w="865" w:type="pct"/>
                  <w:shd w:val="clear" w:color="auto" w:fill="E5B8B7"/>
                </w:tcPr>
                <w:p w14:paraId="784A8FD3" w14:textId="27C73EB3" w:rsidR="00182A97" w:rsidRPr="00027494" w:rsidRDefault="00182A97" w:rsidP="00182A97">
                  <w:pPr>
                    <w:jc w:val="left"/>
                    <w:rPr>
                      <w:rFonts w:cs="Arial"/>
                      <w:sz w:val="12"/>
                      <w:szCs w:val="14"/>
                    </w:rPr>
                  </w:pPr>
                  <w:r w:rsidRPr="00027494">
                    <w:rPr>
                      <w:rFonts w:cs="Arial"/>
                      <w:sz w:val="12"/>
                      <w:szCs w:val="14"/>
                    </w:rPr>
                    <w:t>Nickel Sulphate*</w:t>
                  </w:r>
                </w:p>
              </w:tc>
              <w:tc>
                <w:tcPr>
                  <w:tcW w:w="798" w:type="pct"/>
                  <w:shd w:val="clear" w:color="auto" w:fill="E5B8B7"/>
                </w:tcPr>
                <w:p w14:paraId="5F7C8EEE" w14:textId="21BD1DE3" w:rsidR="00182A97" w:rsidRPr="00027494" w:rsidRDefault="00182A97" w:rsidP="00182A97">
                  <w:pPr>
                    <w:jc w:val="left"/>
                    <w:rPr>
                      <w:rFonts w:cs="Arial"/>
                      <w:sz w:val="12"/>
                      <w:szCs w:val="14"/>
                    </w:rPr>
                  </w:pPr>
                  <w:r w:rsidRPr="00027494">
                    <w:rPr>
                      <w:rFonts w:cs="Arial"/>
                      <w:sz w:val="12"/>
                      <w:szCs w:val="14"/>
                    </w:rPr>
                    <w:t>Perth</w:t>
                  </w:r>
                </w:p>
              </w:tc>
              <w:tc>
                <w:tcPr>
                  <w:tcW w:w="399" w:type="pct"/>
                  <w:shd w:val="clear" w:color="auto" w:fill="E5B8B7"/>
                </w:tcPr>
                <w:p w14:paraId="48843546" w14:textId="6F306487" w:rsidR="00182A97" w:rsidRPr="00027494" w:rsidRDefault="00182A97" w:rsidP="00182A97">
                  <w:pPr>
                    <w:jc w:val="center"/>
                    <w:rPr>
                      <w:rFonts w:cs="Arial"/>
                      <w:sz w:val="12"/>
                      <w:szCs w:val="14"/>
                    </w:rPr>
                  </w:pPr>
                  <w:r w:rsidRPr="00027494">
                    <w:rPr>
                      <w:rFonts w:cs="Arial"/>
                      <w:sz w:val="12"/>
                      <w:szCs w:val="14"/>
                    </w:rPr>
                    <w:t>60</w:t>
                  </w:r>
                </w:p>
              </w:tc>
              <w:tc>
                <w:tcPr>
                  <w:tcW w:w="464" w:type="pct"/>
                  <w:shd w:val="clear" w:color="auto" w:fill="E5B8B7"/>
                </w:tcPr>
                <w:p w14:paraId="12FC9F17" w14:textId="2E8D91CB" w:rsidR="00182A97" w:rsidRPr="007D1998" w:rsidRDefault="00182A97" w:rsidP="00182A97">
                  <w:pPr>
                    <w:jc w:val="center"/>
                    <w:rPr>
                      <w:rFonts w:cs="Arial"/>
                      <w:sz w:val="12"/>
                      <w:szCs w:val="14"/>
                    </w:rPr>
                  </w:pPr>
                  <w:r w:rsidRPr="007D1998">
                    <w:rPr>
                      <w:rFonts w:cs="Arial"/>
                      <w:sz w:val="12"/>
                      <w:szCs w:val="14"/>
                    </w:rPr>
                    <w:t>100</w:t>
                  </w:r>
                </w:p>
              </w:tc>
              <w:tc>
                <w:tcPr>
                  <w:tcW w:w="400" w:type="pct"/>
                  <w:shd w:val="clear" w:color="auto" w:fill="E5B8B7"/>
                </w:tcPr>
                <w:p w14:paraId="006FF4F9" w14:textId="081EF13D" w:rsidR="00182A97" w:rsidRPr="007D1998" w:rsidRDefault="00182A97" w:rsidP="00182A97">
                  <w:pPr>
                    <w:jc w:val="center"/>
                    <w:rPr>
                      <w:rFonts w:cs="Arial"/>
                      <w:sz w:val="12"/>
                      <w:szCs w:val="14"/>
                    </w:rPr>
                  </w:pPr>
                  <w:r w:rsidRPr="007D1998">
                    <w:rPr>
                      <w:rFonts w:cs="Arial"/>
                      <w:sz w:val="12"/>
                      <w:szCs w:val="14"/>
                    </w:rPr>
                    <w:t>2021</w:t>
                  </w:r>
                </w:p>
              </w:tc>
            </w:tr>
            <w:tr w:rsidR="004041A7" w:rsidRPr="00403DF2" w14:paraId="0D7A5D7B" w14:textId="77777777" w:rsidTr="00F63586">
              <w:trPr>
                <w:trHeight w:val="227"/>
              </w:trPr>
              <w:tc>
                <w:tcPr>
                  <w:tcW w:w="852" w:type="pct"/>
                  <w:tcBorders>
                    <w:left w:val="single" w:sz="4" w:space="0" w:color="FFFFFF"/>
                  </w:tcBorders>
                  <w:shd w:val="clear" w:color="auto" w:fill="C0504D"/>
                </w:tcPr>
                <w:p w14:paraId="4F08C3A0" w14:textId="3B2FE837" w:rsidR="004041A7" w:rsidRPr="00F63586" w:rsidRDefault="004041A7" w:rsidP="004041A7">
                  <w:pPr>
                    <w:jc w:val="left"/>
                    <w:rPr>
                      <w:rFonts w:cs="Arial"/>
                      <w:bCs/>
                      <w:color w:val="FFFFFF"/>
                      <w:sz w:val="12"/>
                      <w:szCs w:val="14"/>
                    </w:rPr>
                  </w:pPr>
                  <w:r w:rsidRPr="00F63586">
                    <w:rPr>
                      <w:rFonts w:cs="Arial"/>
                      <w:color w:val="FFFFFF"/>
                      <w:sz w:val="12"/>
                      <w:szCs w:val="14"/>
                    </w:rPr>
                    <w:t>Panoramic Resources</w:t>
                  </w:r>
                </w:p>
              </w:tc>
              <w:tc>
                <w:tcPr>
                  <w:tcW w:w="1222" w:type="pct"/>
                  <w:shd w:val="clear" w:color="auto" w:fill="F2DBDB"/>
                </w:tcPr>
                <w:p w14:paraId="1E45BBE6" w14:textId="37EC5601" w:rsidR="004041A7" w:rsidRPr="00027494" w:rsidRDefault="004041A7" w:rsidP="004041A7">
                  <w:pPr>
                    <w:jc w:val="left"/>
                    <w:rPr>
                      <w:rFonts w:cs="Arial"/>
                      <w:sz w:val="12"/>
                      <w:szCs w:val="14"/>
                    </w:rPr>
                  </w:pPr>
                  <w:r w:rsidRPr="00027494">
                    <w:rPr>
                      <w:rFonts w:cs="Arial"/>
                      <w:sz w:val="12"/>
                      <w:szCs w:val="14"/>
                    </w:rPr>
                    <w:t>Savannah mine restart</w:t>
                  </w:r>
                </w:p>
              </w:tc>
              <w:tc>
                <w:tcPr>
                  <w:tcW w:w="865" w:type="pct"/>
                  <w:shd w:val="clear" w:color="auto" w:fill="F2DBDB"/>
                </w:tcPr>
                <w:p w14:paraId="74463A2C" w14:textId="00AC3DE8" w:rsidR="004041A7" w:rsidRPr="00027494" w:rsidRDefault="004041A7" w:rsidP="004041A7">
                  <w:pPr>
                    <w:jc w:val="left"/>
                    <w:rPr>
                      <w:rFonts w:cs="Arial"/>
                      <w:sz w:val="12"/>
                      <w:szCs w:val="14"/>
                    </w:rPr>
                  </w:pPr>
                  <w:r w:rsidRPr="00027494">
                    <w:rPr>
                      <w:rFonts w:cs="Arial"/>
                      <w:sz w:val="12"/>
                      <w:szCs w:val="14"/>
                    </w:rPr>
                    <w:t>Nickel concentrate</w:t>
                  </w:r>
                  <w:r w:rsidRPr="00027494">
                    <w:rPr>
                      <w:rFonts w:cs="Arial"/>
                      <w:sz w:val="12"/>
                      <w:szCs w:val="14"/>
                      <w:vertAlign w:val="superscript"/>
                    </w:rPr>
                    <w:t>#</w:t>
                  </w:r>
                  <w:r w:rsidRPr="00027494">
                    <w:rPr>
                      <w:rFonts w:cs="Arial"/>
                      <w:sz w:val="12"/>
                      <w:szCs w:val="14"/>
                    </w:rPr>
                    <w:t>*</w:t>
                  </w:r>
                </w:p>
              </w:tc>
              <w:tc>
                <w:tcPr>
                  <w:tcW w:w="798" w:type="pct"/>
                  <w:shd w:val="clear" w:color="auto" w:fill="F2DBDB"/>
                </w:tcPr>
                <w:p w14:paraId="45329F19" w14:textId="6ACFA314" w:rsidR="004041A7" w:rsidRPr="00027494" w:rsidRDefault="004041A7" w:rsidP="004041A7">
                  <w:pPr>
                    <w:jc w:val="left"/>
                    <w:rPr>
                      <w:rFonts w:cs="Arial"/>
                      <w:sz w:val="12"/>
                      <w:szCs w:val="14"/>
                    </w:rPr>
                  </w:pPr>
                  <w:r w:rsidRPr="00027494">
                    <w:rPr>
                      <w:rFonts w:cs="Arial"/>
                      <w:sz w:val="12"/>
                      <w:szCs w:val="14"/>
                    </w:rPr>
                    <w:t>Kimberley</w:t>
                  </w:r>
                </w:p>
              </w:tc>
              <w:tc>
                <w:tcPr>
                  <w:tcW w:w="399" w:type="pct"/>
                  <w:shd w:val="clear" w:color="auto" w:fill="F2DBDB"/>
                </w:tcPr>
                <w:p w14:paraId="420E5853" w14:textId="3AB02024" w:rsidR="004041A7" w:rsidRPr="00027494" w:rsidRDefault="004041A7" w:rsidP="004041A7">
                  <w:pPr>
                    <w:jc w:val="center"/>
                    <w:rPr>
                      <w:rFonts w:cs="Arial"/>
                      <w:sz w:val="12"/>
                      <w:szCs w:val="14"/>
                    </w:rPr>
                  </w:pPr>
                  <w:r w:rsidRPr="00027494">
                    <w:rPr>
                      <w:rFonts w:cs="Arial"/>
                      <w:sz w:val="12"/>
                      <w:szCs w:val="14"/>
                    </w:rPr>
                    <w:t>90</w:t>
                  </w:r>
                </w:p>
              </w:tc>
              <w:tc>
                <w:tcPr>
                  <w:tcW w:w="464" w:type="pct"/>
                  <w:shd w:val="clear" w:color="auto" w:fill="F2DBDB"/>
                </w:tcPr>
                <w:p w14:paraId="3B5F449D" w14:textId="11CDDD6C" w:rsidR="004041A7" w:rsidRPr="007D1998" w:rsidRDefault="004041A7" w:rsidP="004041A7">
                  <w:pPr>
                    <w:jc w:val="center"/>
                    <w:rPr>
                      <w:rFonts w:cs="Arial"/>
                      <w:sz w:val="12"/>
                      <w:szCs w:val="14"/>
                    </w:rPr>
                  </w:pPr>
                  <w:r w:rsidRPr="007D1998">
                    <w:rPr>
                      <w:rFonts w:cs="Arial"/>
                      <w:sz w:val="12"/>
                      <w:szCs w:val="14"/>
                    </w:rPr>
                    <w:t>9</w:t>
                  </w:r>
                </w:p>
              </w:tc>
              <w:tc>
                <w:tcPr>
                  <w:tcW w:w="400" w:type="pct"/>
                  <w:shd w:val="clear" w:color="auto" w:fill="F2DBDB"/>
                </w:tcPr>
                <w:p w14:paraId="50D81A6B" w14:textId="21B431A2" w:rsidR="004041A7" w:rsidRPr="007D1998" w:rsidRDefault="004041A7" w:rsidP="004041A7">
                  <w:pPr>
                    <w:jc w:val="center"/>
                    <w:rPr>
                      <w:rFonts w:cs="Arial"/>
                      <w:sz w:val="12"/>
                      <w:szCs w:val="14"/>
                    </w:rPr>
                  </w:pPr>
                  <w:r w:rsidRPr="007D1998">
                    <w:rPr>
                      <w:rFonts w:cs="Arial"/>
                      <w:sz w:val="12"/>
                      <w:szCs w:val="14"/>
                    </w:rPr>
                    <w:t>2021</w:t>
                  </w:r>
                </w:p>
              </w:tc>
            </w:tr>
            <w:tr w:rsidR="004041A7" w:rsidRPr="00403DF2" w14:paraId="3A26E365" w14:textId="77777777" w:rsidTr="00F63586">
              <w:trPr>
                <w:trHeight w:val="227"/>
              </w:trPr>
              <w:tc>
                <w:tcPr>
                  <w:tcW w:w="852" w:type="pct"/>
                  <w:tcBorders>
                    <w:left w:val="single" w:sz="4" w:space="0" w:color="FFFFFF"/>
                  </w:tcBorders>
                  <w:shd w:val="clear" w:color="auto" w:fill="C0504D"/>
                </w:tcPr>
                <w:p w14:paraId="47F2C728" w14:textId="5BE13872" w:rsidR="004041A7" w:rsidRPr="00F63586" w:rsidRDefault="004041A7" w:rsidP="004041A7">
                  <w:pPr>
                    <w:jc w:val="left"/>
                    <w:rPr>
                      <w:rFonts w:cs="Arial"/>
                      <w:b/>
                      <w:bCs/>
                      <w:color w:val="FFFFFF"/>
                      <w:sz w:val="12"/>
                      <w:szCs w:val="14"/>
                    </w:rPr>
                  </w:pPr>
                  <w:r w:rsidRPr="00F63586">
                    <w:rPr>
                      <w:rFonts w:cs="Arial"/>
                      <w:bCs/>
                      <w:color w:val="FFFFFF"/>
                      <w:sz w:val="12"/>
                      <w:szCs w:val="14"/>
                    </w:rPr>
                    <w:t>Western Areas</w:t>
                  </w:r>
                </w:p>
              </w:tc>
              <w:tc>
                <w:tcPr>
                  <w:tcW w:w="1222" w:type="pct"/>
                  <w:shd w:val="clear" w:color="auto" w:fill="E5B8B7"/>
                </w:tcPr>
                <w:p w14:paraId="47CF1715" w14:textId="6A3F502B" w:rsidR="004041A7" w:rsidRPr="00027494" w:rsidRDefault="004041A7" w:rsidP="004041A7">
                  <w:pPr>
                    <w:jc w:val="left"/>
                    <w:rPr>
                      <w:rFonts w:cs="Arial"/>
                      <w:sz w:val="12"/>
                      <w:szCs w:val="14"/>
                    </w:rPr>
                  </w:pPr>
                  <w:r w:rsidRPr="00027494">
                    <w:rPr>
                      <w:rFonts w:cs="Arial"/>
                      <w:sz w:val="12"/>
                      <w:szCs w:val="14"/>
                    </w:rPr>
                    <w:t>Cosmos/Odysseus mine (stage 2)</w:t>
                  </w:r>
                </w:p>
              </w:tc>
              <w:tc>
                <w:tcPr>
                  <w:tcW w:w="865" w:type="pct"/>
                  <w:shd w:val="clear" w:color="auto" w:fill="E5B8B7"/>
                </w:tcPr>
                <w:p w14:paraId="6EB55A64" w14:textId="19F36AE6" w:rsidR="004041A7" w:rsidRPr="00027494" w:rsidRDefault="004041A7" w:rsidP="004041A7">
                  <w:pPr>
                    <w:jc w:val="left"/>
                    <w:rPr>
                      <w:rFonts w:cs="Arial"/>
                      <w:sz w:val="12"/>
                      <w:szCs w:val="14"/>
                    </w:rPr>
                  </w:pPr>
                  <w:r w:rsidRPr="00027494">
                    <w:rPr>
                      <w:rFonts w:cs="Arial"/>
                      <w:sz w:val="12"/>
                      <w:szCs w:val="14"/>
                    </w:rPr>
                    <w:t>Nickel concentrate</w:t>
                  </w:r>
                </w:p>
              </w:tc>
              <w:tc>
                <w:tcPr>
                  <w:tcW w:w="798" w:type="pct"/>
                  <w:shd w:val="clear" w:color="auto" w:fill="E5B8B7"/>
                </w:tcPr>
                <w:p w14:paraId="3E599F65" w14:textId="2A58B4E6" w:rsidR="004041A7" w:rsidRPr="00027494" w:rsidRDefault="004041A7" w:rsidP="004041A7">
                  <w:pPr>
                    <w:jc w:val="left"/>
                    <w:rPr>
                      <w:rFonts w:cs="Arial"/>
                      <w:sz w:val="12"/>
                      <w:szCs w:val="14"/>
                    </w:rPr>
                  </w:pPr>
                  <w:r w:rsidRPr="00027494">
                    <w:rPr>
                      <w:rFonts w:cs="Arial"/>
                      <w:sz w:val="12"/>
                      <w:szCs w:val="14"/>
                    </w:rPr>
                    <w:t>Goldfields-Esperance</w:t>
                  </w:r>
                </w:p>
              </w:tc>
              <w:tc>
                <w:tcPr>
                  <w:tcW w:w="399" w:type="pct"/>
                  <w:shd w:val="clear" w:color="auto" w:fill="E5B8B7"/>
                </w:tcPr>
                <w:p w14:paraId="0F44C348" w14:textId="2820B000" w:rsidR="004041A7" w:rsidRPr="00027494" w:rsidRDefault="004041A7" w:rsidP="004041A7">
                  <w:pPr>
                    <w:jc w:val="center"/>
                    <w:rPr>
                      <w:rFonts w:cs="Arial"/>
                      <w:sz w:val="12"/>
                      <w:szCs w:val="14"/>
                    </w:rPr>
                  </w:pPr>
                  <w:r w:rsidRPr="00027494">
                    <w:rPr>
                      <w:rFonts w:cs="Arial"/>
                      <w:sz w:val="12"/>
                      <w:szCs w:val="14"/>
                    </w:rPr>
                    <w:t>300</w:t>
                  </w:r>
                </w:p>
              </w:tc>
              <w:tc>
                <w:tcPr>
                  <w:tcW w:w="464" w:type="pct"/>
                  <w:shd w:val="clear" w:color="auto" w:fill="E5B8B7"/>
                </w:tcPr>
                <w:p w14:paraId="5C044F9C" w14:textId="090CBEAE" w:rsidR="004041A7" w:rsidRPr="004041A7" w:rsidRDefault="004041A7" w:rsidP="004041A7">
                  <w:pPr>
                    <w:jc w:val="center"/>
                    <w:rPr>
                      <w:rFonts w:cs="Arial"/>
                      <w:color w:val="FF0000"/>
                      <w:sz w:val="12"/>
                      <w:szCs w:val="14"/>
                    </w:rPr>
                  </w:pPr>
                  <w:r w:rsidRPr="00027494">
                    <w:rPr>
                      <w:rFonts w:cs="Arial"/>
                      <w:sz w:val="12"/>
                      <w:szCs w:val="14"/>
                    </w:rPr>
                    <w:t>13-15</w:t>
                  </w:r>
                </w:p>
              </w:tc>
              <w:tc>
                <w:tcPr>
                  <w:tcW w:w="400" w:type="pct"/>
                  <w:shd w:val="clear" w:color="auto" w:fill="E5B8B7"/>
                </w:tcPr>
                <w:p w14:paraId="2C6F0531" w14:textId="48FBC20C" w:rsidR="004041A7" w:rsidRPr="004041A7" w:rsidRDefault="004041A7" w:rsidP="004041A7">
                  <w:pPr>
                    <w:jc w:val="center"/>
                    <w:rPr>
                      <w:rFonts w:cs="Arial"/>
                      <w:color w:val="FF0000"/>
                      <w:sz w:val="12"/>
                      <w:szCs w:val="14"/>
                    </w:rPr>
                  </w:pPr>
                  <w:r w:rsidRPr="00027494">
                    <w:rPr>
                      <w:rFonts w:cs="Arial"/>
                      <w:sz w:val="12"/>
                      <w:szCs w:val="14"/>
                    </w:rPr>
                    <w:t>2022</w:t>
                  </w:r>
                </w:p>
              </w:tc>
            </w:tr>
            <w:tr w:rsidR="004041A7" w:rsidRPr="00403DF2" w14:paraId="13F472BB" w14:textId="77777777" w:rsidTr="00F63586">
              <w:trPr>
                <w:trHeight w:val="227"/>
              </w:trPr>
              <w:tc>
                <w:tcPr>
                  <w:tcW w:w="852" w:type="pct"/>
                  <w:tcBorders>
                    <w:left w:val="single" w:sz="4" w:space="0" w:color="FFFFFF"/>
                  </w:tcBorders>
                  <w:shd w:val="clear" w:color="auto" w:fill="C0504D"/>
                </w:tcPr>
                <w:p w14:paraId="2A6C21C3" w14:textId="77777777" w:rsidR="004041A7" w:rsidRPr="00F63586" w:rsidRDefault="004041A7" w:rsidP="004041A7">
                  <w:pPr>
                    <w:jc w:val="left"/>
                    <w:rPr>
                      <w:rFonts w:cs="Arial"/>
                      <w:b/>
                      <w:bCs/>
                      <w:i/>
                      <w:color w:val="FFFFFF"/>
                      <w:sz w:val="12"/>
                      <w:szCs w:val="14"/>
                    </w:rPr>
                  </w:pPr>
                  <w:r w:rsidRPr="00F63586">
                    <w:rPr>
                      <w:rFonts w:cs="Arial"/>
                      <w:b/>
                      <w:bCs/>
                      <w:i/>
                      <w:color w:val="FFFFFF"/>
                      <w:sz w:val="14"/>
                      <w:szCs w:val="14"/>
                    </w:rPr>
                    <w:t>Other</w:t>
                  </w:r>
                </w:p>
              </w:tc>
              <w:tc>
                <w:tcPr>
                  <w:tcW w:w="1222" w:type="pct"/>
                  <w:shd w:val="clear" w:color="auto" w:fill="F2DBDB"/>
                </w:tcPr>
                <w:p w14:paraId="1157F4B5" w14:textId="77777777" w:rsidR="004041A7" w:rsidRPr="00027494" w:rsidRDefault="004041A7" w:rsidP="004041A7">
                  <w:pPr>
                    <w:jc w:val="left"/>
                    <w:rPr>
                      <w:rFonts w:cs="Arial"/>
                      <w:sz w:val="12"/>
                      <w:szCs w:val="14"/>
                    </w:rPr>
                  </w:pPr>
                </w:p>
              </w:tc>
              <w:tc>
                <w:tcPr>
                  <w:tcW w:w="865" w:type="pct"/>
                  <w:shd w:val="clear" w:color="auto" w:fill="F2DBDB"/>
                </w:tcPr>
                <w:p w14:paraId="76538670" w14:textId="77777777" w:rsidR="004041A7" w:rsidRPr="00027494" w:rsidRDefault="004041A7" w:rsidP="004041A7">
                  <w:pPr>
                    <w:jc w:val="left"/>
                    <w:rPr>
                      <w:rFonts w:cs="Arial"/>
                      <w:sz w:val="12"/>
                      <w:szCs w:val="14"/>
                    </w:rPr>
                  </w:pPr>
                </w:p>
              </w:tc>
              <w:tc>
                <w:tcPr>
                  <w:tcW w:w="798" w:type="pct"/>
                  <w:shd w:val="clear" w:color="auto" w:fill="F2DBDB"/>
                </w:tcPr>
                <w:p w14:paraId="7D5969D9" w14:textId="77777777" w:rsidR="004041A7" w:rsidRPr="00027494" w:rsidRDefault="004041A7" w:rsidP="004041A7">
                  <w:pPr>
                    <w:jc w:val="left"/>
                    <w:rPr>
                      <w:rFonts w:cs="Arial"/>
                      <w:sz w:val="12"/>
                      <w:szCs w:val="14"/>
                    </w:rPr>
                  </w:pPr>
                </w:p>
              </w:tc>
              <w:tc>
                <w:tcPr>
                  <w:tcW w:w="399" w:type="pct"/>
                  <w:shd w:val="clear" w:color="auto" w:fill="F2DBDB"/>
                </w:tcPr>
                <w:p w14:paraId="6A3EB113" w14:textId="77777777" w:rsidR="004041A7" w:rsidRPr="00027494" w:rsidRDefault="004041A7" w:rsidP="004041A7">
                  <w:pPr>
                    <w:jc w:val="center"/>
                    <w:rPr>
                      <w:rFonts w:cs="Arial"/>
                      <w:sz w:val="12"/>
                      <w:szCs w:val="14"/>
                    </w:rPr>
                  </w:pPr>
                </w:p>
              </w:tc>
              <w:tc>
                <w:tcPr>
                  <w:tcW w:w="464" w:type="pct"/>
                  <w:shd w:val="clear" w:color="auto" w:fill="F2DBDB"/>
                </w:tcPr>
                <w:p w14:paraId="021C20DD" w14:textId="77777777" w:rsidR="004041A7" w:rsidRPr="00027494" w:rsidRDefault="004041A7" w:rsidP="004041A7">
                  <w:pPr>
                    <w:jc w:val="center"/>
                    <w:rPr>
                      <w:rFonts w:cs="Arial"/>
                      <w:sz w:val="12"/>
                      <w:szCs w:val="14"/>
                    </w:rPr>
                  </w:pPr>
                </w:p>
              </w:tc>
              <w:tc>
                <w:tcPr>
                  <w:tcW w:w="400" w:type="pct"/>
                  <w:shd w:val="clear" w:color="auto" w:fill="F2DBDB"/>
                </w:tcPr>
                <w:p w14:paraId="0C257489" w14:textId="77777777" w:rsidR="004041A7" w:rsidRPr="00027494" w:rsidRDefault="004041A7" w:rsidP="004041A7">
                  <w:pPr>
                    <w:jc w:val="center"/>
                    <w:rPr>
                      <w:rFonts w:cs="Arial"/>
                      <w:sz w:val="12"/>
                      <w:szCs w:val="14"/>
                    </w:rPr>
                  </w:pPr>
                </w:p>
              </w:tc>
            </w:tr>
            <w:tr w:rsidR="004041A7" w:rsidRPr="00403DF2" w14:paraId="7DD4CC97" w14:textId="77777777" w:rsidTr="00F63586">
              <w:trPr>
                <w:trHeight w:val="227"/>
              </w:trPr>
              <w:tc>
                <w:tcPr>
                  <w:tcW w:w="852" w:type="pct"/>
                  <w:tcBorders>
                    <w:left w:val="single" w:sz="4" w:space="0" w:color="FFFFFF"/>
                    <w:bottom w:val="single" w:sz="4" w:space="0" w:color="FFFFFF"/>
                  </w:tcBorders>
                  <w:shd w:val="clear" w:color="auto" w:fill="C0504D"/>
                </w:tcPr>
                <w:p w14:paraId="23E23AEE" w14:textId="77777777" w:rsidR="004041A7" w:rsidRPr="00F63586" w:rsidRDefault="004041A7" w:rsidP="004041A7">
                  <w:pPr>
                    <w:jc w:val="left"/>
                    <w:rPr>
                      <w:rFonts w:cs="Arial"/>
                      <w:b/>
                      <w:bCs/>
                      <w:color w:val="548DD4"/>
                      <w:sz w:val="12"/>
                      <w:szCs w:val="14"/>
                    </w:rPr>
                  </w:pPr>
                  <w:r w:rsidRPr="00F63586">
                    <w:rPr>
                      <w:rFonts w:cs="Arial"/>
                      <w:bCs/>
                      <w:color w:val="FFFFFF"/>
                      <w:sz w:val="12"/>
                      <w:szCs w:val="14"/>
                    </w:rPr>
                    <w:t>Lynas</w:t>
                  </w:r>
                </w:p>
              </w:tc>
              <w:tc>
                <w:tcPr>
                  <w:tcW w:w="1222" w:type="pct"/>
                  <w:shd w:val="clear" w:color="auto" w:fill="E5B8B7"/>
                </w:tcPr>
                <w:p w14:paraId="38FB803C" w14:textId="77777777" w:rsidR="004041A7" w:rsidRPr="00027494" w:rsidRDefault="004041A7" w:rsidP="004041A7">
                  <w:pPr>
                    <w:jc w:val="left"/>
                    <w:rPr>
                      <w:rFonts w:cs="Arial"/>
                      <w:sz w:val="12"/>
                      <w:szCs w:val="14"/>
                    </w:rPr>
                  </w:pPr>
                  <w:r w:rsidRPr="00027494">
                    <w:rPr>
                      <w:rFonts w:cs="Arial"/>
                      <w:sz w:val="12"/>
                      <w:szCs w:val="14"/>
                    </w:rPr>
                    <w:t>Kalgoorlie Processing Plant</w:t>
                  </w:r>
                </w:p>
              </w:tc>
              <w:tc>
                <w:tcPr>
                  <w:tcW w:w="865" w:type="pct"/>
                  <w:shd w:val="clear" w:color="auto" w:fill="E5B8B7"/>
                </w:tcPr>
                <w:p w14:paraId="23734FBC" w14:textId="77777777" w:rsidR="004041A7" w:rsidRPr="00027494" w:rsidRDefault="004041A7" w:rsidP="004041A7">
                  <w:pPr>
                    <w:jc w:val="left"/>
                    <w:rPr>
                      <w:rFonts w:cs="Arial"/>
                      <w:sz w:val="12"/>
                      <w:szCs w:val="14"/>
                    </w:rPr>
                  </w:pPr>
                  <w:r w:rsidRPr="00027494">
                    <w:rPr>
                      <w:rFonts w:cs="Arial"/>
                      <w:sz w:val="12"/>
                      <w:szCs w:val="14"/>
                    </w:rPr>
                    <w:t>Rare earths (Neodymium, Praseodymium)</w:t>
                  </w:r>
                </w:p>
              </w:tc>
              <w:tc>
                <w:tcPr>
                  <w:tcW w:w="798" w:type="pct"/>
                  <w:shd w:val="clear" w:color="auto" w:fill="E5B8B7"/>
                </w:tcPr>
                <w:p w14:paraId="19C6977F" w14:textId="77777777" w:rsidR="004041A7" w:rsidRPr="00027494" w:rsidRDefault="004041A7" w:rsidP="004041A7">
                  <w:pPr>
                    <w:jc w:val="left"/>
                    <w:rPr>
                      <w:rFonts w:cs="Arial"/>
                      <w:sz w:val="12"/>
                      <w:szCs w:val="14"/>
                    </w:rPr>
                  </w:pPr>
                  <w:r w:rsidRPr="00027494">
                    <w:rPr>
                      <w:rFonts w:cs="Arial"/>
                      <w:sz w:val="12"/>
                      <w:szCs w:val="14"/>
                    </w:rPr>
                    <w:t>Goldfields-Esperance</w:t>
                  </w:r>
                </w:p>
              </w:tc>
              <w:tc>
                <w:tcPr>
                  <w:tcW w:w="399" w:type="pct"/>
                  <w:shd w:val="clear" w:color="auto" w:fill="E5B8B7"/>
                </w:tcPr>
                <w:p w14:paraId="72AE9F74" w14:textId="77777777" w:rsidR="004041A7" w:rsidRPr="00027494" w:rsidRDefault="004041A7" w:rsidP="004041A7">
                  <w:pPr>
                    <w:jc w:val="center"/>
                    <w:rPr>
                      <w:rFonts w:cs="Arial"/>
                      <w:sz w:val="12"/>
                      <w:szCs w:val="14"/>
                    </w:rPr>
                  </w:pPr>
                  <w:r w:rsidRPr="00027494">
                    <w:rPr>
                      <w:rFonts w:cs="Arial"/>
                      <w:sz w:val="12"/>
                      <w:szCs w:val="14"/>
                    </w:rPr>
                    <w:t>500</w:t>
                  </w:r>
                </w:p>
              </w:tc>
              <w:tc>
                <w:tcPr>
                  <w:tcW w:w="464" w:type="pct"/>
                  <w:shd w:val="clear" w:color="auto" w:fill="E5B8B7"/>
                </w:tcPr>
                <w:p w14:paraId="30280773" w14:textId="77777777" w:rsidR="004041A7" w:rsidRPr="00027494" w:rsidRDefault="004041A7" w:rsidP="004041A7">
                  <w:pPr>
                    <w:jc w:val="center"/>
                    <w:rPr>
                      <w:rFonts w:cs="Arial"/>
                      <w:sz w:val="12"/>
                      <w:szCs w:val="14"/>
                    </w:rPr>
                  </w:pPr>
                  <w:r w:rsidRPr="00027494">
                    <w:rPr>
                      <w:rFonts w:cs="Arial"/>
                      <w:sz w:val="12"/>
                      <w:szCs w:val="14"/>
                    </w:rPr>
                    <w:t>11</w:t>
                  </w:r>
                </w:p>
              </w:tc>
              <w:tc>
                <w:tcPr>
                  <w:tcW w:w="400" w:type="pct"/>
                  <w:shd w:val="clear" w:color="auto" w:fill="E5B8B7"/>
                </w:tcPr>
                <w:p w14:paraId="0AB2863F" w14:textId="77777777" w:rsidR="004041A7" w:rsidRPr="00027494" w:rsidRDefault="004041A7" w:rsidP="004041A7">
                  <w:pPr>
                    <w:jc w:val="center"/>
                    <w:rPr>
                      <w:rFonts w:cs="Arial"/>
                      <w:sz w:val="12"/>
                      <w:szCs w:val="14"/>
                    </w:rPr>
                  </w:pPr>
                  <w:r w:rsidRPr="00027494">
                    <w:rPr>
                      <w:rFonts w:cs="Arial"/>
                      <w:sz w:val="12"/>
                      <w:szCs w:val="14"/>
                    </w:rPr>
                    <w:t>2023</w:t>
                  </w:r>
                </w:p>
              </w:tc>
            </w:tr>
          </w:tbl>
          <w:p w14:paraId="67B9B56A" w14:textId="77777777" w:rsidR="007C6279" w:rsidRPr="00403DF2" w:rsidRDefault="007C6279" w:rsidP="00E544E4">
            <w:pPr>
              <w:jc w:val="left"/>
              <w:rPr>
                <w:rFonts w:cs="Arial"/>
                <w:sz w:val="12"/>
                <w:szCs w:val="20"/>
              </w:rPr>
            </w:pPr>
          </w:p>
        </w:tc>
      </w:tr>
      <w:tr w:rsidR="007C6279" w:rsidRPr="00E84F58" w14:paraId="7A9F3182" w14:textId="77777777" w:rsidTr="00E544E4">
        <w:tc>
          <w:tcPr>
            <w:tcW w:w="5000" w:type="pct"/>
            <w:gridSpan w:val="2"/>
            <w:shd w:val="clear" w:color="auto" w:fill="auto"/>
          </w:tcPr>
          <w:p w14:paraId="5063BFAC" w14:textId="076B7BB5" w:rsidR="007C6279" w:rsidRDefault="007C6279" w:rsidP="00E544E4">
            <w:pPr>
              <w:rPr>
                <w:rFonts w:cs="Arial"/>
                <w:sz w:val="10"/>
                <w:szCs w:val="10"/>
                <w:vertAlign w:val="superscript"/>
              </w:rPr>
            </w:pPr>
            <w:r w:rsidRPr="00C96C31">
              <w:rPr>
                <w:rFonts w:cs="Arial"/>
                <w:sz w:val="10"/>
                <w:szCs w:val="10"/>
              </w:rPr>
              <w:t>Note – Spodumene concentrate produced from the Greenbushes mine contains around 5% to 7.5% lithium.</w:t>
            </w:r>
            <w:r>
              <w:rPr>
                <w:rFonts w:cs="Arial"/>
                <w:sz w:val="10"/>
                <w:szCs w:val="10"/>
              </w:rPr>
              <w:t xml:space="preserve"> </w:t>
            </w:r>
            <w:r w:rsidRPr="00E54998">
              <w:rPr>
                <w:rFonts w:cs="Arial"/>
                <w:sz w:val="10"/>
                <w:szCs w:val="10"/>
              </w:rPr>
              <w:t>CGP = Chemical Grade Plant</w:t>
            </w:r>
            <w:r>
              <w:rPr>
                <w:rFonts w:cs="Arial"/>
                <w:sz w:val="10"/>
                <w:szCs w:val="10"/>
              </w:rPr>
              <w:t>.</w:t>
            </w:r>
            <w:r w:rsidRPr="00C96C31">
              <w:rPr>
                <w:rFonts w:cs="Arial"/>
                <w:sz w:val="10"/>
                <w:szCs w:val="10"/>
              </w:rPr>
              <w:t xml:space="preserve"> n.a. – not available or not applicable. ^ Tianqi Lithium and Albemarle Joint Venture. * Produces cobalt. </w:t>
            </w:r>
            <w:r w:rsidRPr="00C96C31">
              <w:rPr>
                <w:rFonts w:cs="Arial"/>
                <w:sz w:val="10"/>
                <w:szCs w:val="10"/>
                <w:vertAlign w:val="superscript"/>
              </w:rPr>
              <w:t>#</w:t>
            </w:r>
            <w:r w:rsidRPr="00C96C31">
              <w:rPr>
                <w:rFonts w:cs="Arial"/>
                <w:sz w:val="10"/>
                <w:szCs w:val="10"/>
              </w:rPr>
              <w:t xml:space="preserve"> Produces copper. </w:t>
            </w:r>
            <w:r w:rsidRPr="00C96C31">
              <w:rPr>
                <w:rFonts w:cs="Arial"/>
                <w:sz w:val="10"/>
                <w:szCs w:val="10"/>
                <w:vertAlign w:val="superscript"/>
              </w:rPr>
              <w:t>1</w:t>
            </w:r>
            <w:r w:rsidRPr="00C96C31">
              <w:rPr>
                <w:rFonts w:cs="Arial"/>
                <w:sz w:val="10"/>
                <w:szCs w:val="10"/>
              </w:rPr>
              <w:t xml:space="preserve"> Major projects that produce battery minerals as a primary commodity (excludes projects that produce battery minerals as a by-product only, such as copper produced at the Boddington, Telfer and Deflector gold mines). </w:t>
            </w:r>
            <w:r w:rsidRPr="00C96C31">
              <w:rPr>
                <w:rFonts w:cs="Arial"/>
                <w:sz w:val="10"/>
                <w:szCs w:val="10"/>
                <w:vertAlign w:val="superscript"/>
              </w:rPr>
              <w:t>2</w:t>
            </w:r>
            <w:r w:rsidRPr="00C96C31">
              <w:rPr>
                <w:rFonts w:cs="Arial"/>
                <w:sz w:val="10"/>
                <w:szCs w:val="10"/>
              </w:rPr>
              <w:t xml:space="preserve"> Includes </w:t>
            </w:r>
            <w:r>
              <w:rPr>
                <w:rFonts w:cs="Arial"/>
                <w:sz w:val="10"/>
                <w:szCs w:val="10"/>
              </w:rPr>
              <w:t>the largest producing projects and projects recently placed under care and maintenance</w:t>
            </w:r>
            <w:r w:rsidRPr="00C96C31">
              <w:rPr>
                <w:rFonts w:cs="Arial"/>
                <w:sz w:val="10"/>
                <w:szCs w:val="10"/>
              </w:rPr>
              <w:t>.</w:t>
            </w:r>
          </w:p>
          <w:p w14:paraId="1DBD1A1B" w14:textId="77777777" w:rsidR="007C6279" w:rsidRPr="00C96C31" w:rsidRDefault="007C6279" w:rsidP="00E544E4">
            <w:pPr>
              <w:rPr>
                <w:rFonts w:cs="Arial"/>
                <w:sz w:val="10"/>
                <w:szCs w:val="10"/>
              </w:rPr>
            </w:pPr>
            <w:r w:rsidRPr="00C96C31">
              <w:rPr>
                <w:rFonts w:cs="Arial"/>
                <w:sz w:val="10"/>
                <w:szCs w:val="10"/>
              </w:rPr>
              <w:t>Source: S&amp;P Global Market Intelligence; and company announcements, reports and presentations.</w:t>
            </w:r>
          </w:p>
        </w:tc>
      </w:tr>
    </w:tbl>
    <w:p w14:paraId="4233F4C8" w14:textId="5CF25ABC" w:rsidR="0089219D" w:rsidRPr="006D1A42" w:rsidRDefault="0089219D" w:rsidP="00062B27">
      <w:pPr>
        <w:rPr>
          <w:rFonts w:cs="Arial"/>
          <w:sz w:val="4"/>
          <w:szCs w:val="20"/>
        </w:rPr>
      </w:pPr>
    </w:p>
    <w:sectPr w:rsidR="0089219D" w:rsidRPr="006D1A42" w:rsidSect="00A8171B">
      <w:headerReference w:type="default" r:id="rId20"/>
      <w:footerReference w:type="default" r:id="rId21"/>
      <w:pgSz w:w="11906" w:h="16838" w:code="9"/>
      <w:pgMar w:top="1701" w:right="1361" w:bottom="1701" w:left="226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CBDDA" w14:textId="77777777" w:rsidR="00223A48" w:rsidRDefault="00223A48">
      <w:r>
        <w:separator/>
      </w:r>
    </w:p>
  </w:endnote>
  <w:endnote w:type="continuationSeparator" w:id="0">
    <w:p w14:paraId="23EAB772" w14:textId="77777777" w:rsidR="00223A48" w:rsidRDefault="00223A48">
      <w:r>
        <w:continuationSeparator/>
      </w:r>
    </w:p>
  </w:endnote>
  <w:endnote w:type="continuationNotice" w:id="1">
    <w:p w14:paraId="69FDA67E" w14:textId="77777777" w:rsidR="00223A48" w:rsidRDefault="0022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FC20" w14:textId="423DED77" w:rsidR="00223A48" w:rsidRDefault="00223A48" w:rsidP="0029279C">
    <w:pPr>
      <w:pStyle w:val="Footer"/>
      <w:ind w:left="-1701"/>
      <w:rPr>
        <w:sz w:val="16"/>
      </w:rPr>
    </w:pPr>
    <w:r>
      <w:rPr>
        <w:sz w:val="16"/>
      </w:rPr>
      <w:t xml:space="preserve">WA </w:t>
    </w:r>
    <w:r w:rsidR="003C5787">
      <w:rPr>
        <w:sz w:val="16"/>
      </w:rPr>
      <w:t xml:space="preserve">Battery Minerals Profile – </w:t>
    </w:r>
    <w:r w:rsidR="007D1998">
      <w:rPr>
        <w:sz w:val="16"/>
      </w:rPr>
      <w:t>Octo</w:t>
    </w:r>
    <w:r w:rsidR="0059555B">
      <w:rPr>
        <w:sz w:val="16"/>
      </w:rPr>
      <w:t>ber</w:t>
    </w:r>
    <w:r>
      <w:rPr>
        <w:sz w:val="16"/>
      </w:rPr>
      <w:t xml:space="preserve"> </w:t>
    </w:r>
    <w:r w:rsidRPr="0053099D">
      <w:rPr>
        <w:sz w:val="16"/>
      </w:rPr>
      <w:t>20</w:t>
    </w:r>
    <w:r>
      <w:rPr>
        <w:sz w:val="16"/>
      </w:rPr>
      <w:t>20</w:t>
    </w:r>
  </w:p>
  <w:p w14:paraId="0CE7ABC1" w14:textId="77777777" w:rsidR="00223A48" w:rsidRDefault="00901C04" w:rsidP="00A244DA">
    <w:pPr>
      <w:pStyle w:val="Footer"/>
      <w:ind w:left="-1701"/>
      <w:rPr>
        <w:sz w:val="12"/>
      </w:rPr>
    </w:pPr>
    <w:r>
      <w:rPr>
        <w:sz w:val="12"/>
        <w:lang w:val="en-US"/>
      </w:rPr>
      <w:pict w14:anchorId="412ECB5F">
        <v:shapetype id="_x0000_t202" coordsize="21600,21600" o:spt="202" path="m,l,21600r21600,l21600,xe">
          <v:stroke joinstyle="miter"/>
          <v:path gradientshapeok="t" o:connecttype="rect"/>
        </v:shapetype>
        <v:shape id="_x0000_s2065" type="#_x0000_t202" style="position:absolute;left:0;text-align:left;margin-left:40.05pt;margin-top:801.2pt;width:522pt;height:17.25pt;z-index:-251658239;mso-wrap-edited:f;mso-position-horizontal-relative:page;mso-position-vertical-relative:page" wrapcoords="-43 0 -43 20571 21600 20571 21600 0 -43 0" filled="f" fillcolor="#f78e1d" stroked="f">
          <v:textbox style="mso-next-textbox:#_x0000_s2065;mso-fit-shape-to-text:t" inset="0,0,0,0">
            <w:txbxContent>
              <w:p w14:paraId="291960A0" w14:textId="77777777" w:rsidR="00223A48" w:rsidRDefault="00901C04" w:rsidP="00A244DA">
                <w:pPr>
                  <w:pStyle w:val="Footertitle"/>
                  <w:rPr>
                    <w:color w:val="333333"/>
                  </w:rPr>
                </w:pPr>
                <w:r>
                  <w:rPr>
                    <w:rFonts w:ascii="Times New Roman" w:hAnsi="Times New Roman"/>
                    <w:lang w:eastAsia="en-AU"/>
                  </w:rPr>
                  <w:pict w14:anchorId="3B3CD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4.65pt;height:5pt">
                      <v:imagedata r:id="rId1" o:title="Bottom graphics"/>
                    </v:shape>
                  </w:pict>
                </w:r>
              </w:p>
            </w:txbxContent>
          </v:textbox>
          <w10:wrap type="through" anchorx="page" anchory="page"/>
        </v:shape>
      </w:pict>
    </w:r>
    <w:r w:rsidR="00223A48" w:rsidRPr="0029279C">
      <w:rPr>
        <w:sz w:val="12"/>
      </w:rPr>
      <w:t>Includes the production</w:t>
    </w:r>
    <w:r w:rsidR="00223A48">
      <w:rPr>
        <w:sz w:val="12"/>
      </w:rPr>
      <w:t xml:space="preserve"> and </w:t>
    </w:r>
    <w:r w:rsidR="00223A48" w:rsidRPr="0029279C">
      <w:rPr>
        <w:sz w:val="12"/>
      </w:rPr>
      <w:t>exports</w:t>
    </w:r>
    <w:r w:rsidR="00223A48">
      <w:rPr>
        <w:sz w:val="12"/>
      </w:rPr>
      <w:t xml:space="preserve">/sales </w:t>
    </w:r>
    <w:r w:rsidR="00223A48" w:rsidRPr="0029279C">
      <w:rPr>
        <w:sz w:val="12"/>
      </w:rPr>
      <w:t xml:space="preserve">of </w:t>
    </w:r>
    <w:r w:rsidR="00223A48">
      <w:rPr>
        <w:sz w:val="12"/>
      </w:rPr>
      <w:t xml:space="preserve">battery </w:t>
    </w:r>
    <w:r w:rsidR="00223A48" w:rsidRPr="0029279C">
      <w:rPr>
        <w:sz w:val="12"/>
      </w:rPr>
      <w:t>minerals not exclusively for battery manufacturing.</w:t>
    </w:r>
  </w:p>
  <w:p w14:paraId="2A3ACA07" w14:textId="77777777" w:rsidR="00223A48" w:rsidRPr="0053099D" w:rsidRDefault="00223A48" w:rsidP="0029279C">
    <w:pPr>
      <w:pStyle w:val="Footer"/>
      <w:ind w:left="-1701"/>
      <w:rPr>
        <w:sz w:val="16"/>
      </w:rPr>
    </w:pPr>
  </w:p>
  <w:p w14:paraId="5C2213A4" w14:textId="4ED6C698" w:rsidR="00223A48" w:rsidRDefault="00223A48" w:rsidP="009E2C94">
    <w:pPr>
      <w:pStyle w:val="Footer"/>
      <w:jc w:val="right"/>
    </w:pPr>
    <w:r>
      <w:rPr>
        <w:rStyle w:val="PageNumber"/>
        <w:color w:val="525D36"/>
        <w:sz w:val="30"/>
      </w:rPr>
      <w:fldChar w:fldCharType="begin"/>
    </w:r>
    <w:r>
      <w:rPr>
        <w:rStyle w:val="PageNumber"/>
        <w:rFonts w:ascii="Trebuchet MS" w:hAnsi="Trebuchet MS"/>
        <w:color w:val="525D36"/>
        <w:sz w:val="30"/>
      </w:rPr>
      <w:instrText xml:space="preserve">PAGE  </w:instrText>
    </w:r>
    <w:r>
      <w:rPr>
        <w:rStyle w:val="PageNumber"/>
        <w:color w:val="525D36"/>
        <w:sz w:val="30"/>
      </w:rPr>
      <w:fldChar w:fldCharType="separate"/>
    </w:r>
    <w:r w:rsidR="00901C04">
      <w:rPr>
        <w:rStyle w:val="PageNumber"/>
        <w:rFonts w:ascii="Trebuchet MS" w:hAnsi="Trebuchet MS"/>
        <w:noProof/>
        <w:color w:val="525D36"/>
        <w:sz w:val="30"/>
      </w:rPr>
      <w:t>1</w:t>
    </w:r>
    <w:r>
      <w:rPr>
        <w:rStyle w:val="PageNumber"/>
        <w:color w:val="525D36"/>
        <w:sz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1FA1" w14:textId="77777777" w:rsidR="00223A48" w:rsidRDefault="00223A48">
      <w:r>
        <w:separator/>
      </w:r>
    </w:p>
  </w:footnote>
  <w:footnote w:type="continuationSeparator" w:id="0">
    <w:p w14:paraId="08732FB6" w14:textId="77777777" w:rsidR="00223A48" w:rsidRDefault="00223A48">
      <w:r>
        <w:continuationSeparator/>
      </w:r>
    </w:p>
  </w:footnote>
  <w:footnote w:type="continuationNotice" w:id="1">
    <w:p w14:paraId="26B61E64" w14:textId="77777777" w:rsidR="00223A48" w:rsidRDefault="00223A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CD97" w14:textId="36BF8F09" w:rsidR="00223A48" w:rsidRPr="00084FA0" w:rsidRDefault="00901C04" w:rsidP="00084FA0">
    <w:pPr>
      <w:pStyle w:val="Header"/>
      <w:ind w:left="-1134" w:hanging="567"/>
    </w:pPr>
    <w:r>
      <w:rPr>
        <w:noProof/>
      </w:rPr>
      <w:pict w14:anchorId="47B6469B">
        <v:shapetype id="_x0000_t202" coordsize="21600,21600" o:spt="202" path="m,l,21600r21600,l21600,xe">
          <v:stroke joinstyle="miter"/>
          <v:path gradientshapeok="t" o:connecttype="rect"/>
        </v:shapetype>
        <v:shape id="Text Box 2" o:spid="_x0000_s2060" type="#_x0000_t202" style="position:absolute;left:0;text-align:left;margin-left:281.85pt;margin-top:-.6pt;width:164.1pt;height:78.9pt;z-index:251658240;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filled="f" stroked="f">
          <v:textbox>
            <w:txbxContent>
              <w:p w14:paraId="33DB3B6F" w14:textId="77777777" w:rsidR="00223A48" w:rsidRPr="00041A33" w:rsidRDefault="00223A48" w:rsidP="00041A33">
                <w:pPr>
                  <w:jc w:val="right"/>
                  <w:rPr>
                    <w:b/>
                    <w:color w:val="FFFFFF"/>
                  </w:rPr>
                </w:pPr>
              </w:p>
              <w:p w14:paraId="166F43DA" w14:textId="155D3587" w:rsidR="00223A48" w:rsidRPr="0053099D" w:rsidRDefault="00223A48" w:rsidP="00041A33">
                <w:pPr>
                  <w:jc w:val="right"/>
                  <w:rPr>
                    <w:b/>
                    <w:color w:val="FFFFFF"/>
                    <w:sz w:val="22"/>
                  </w:rPr>
                </w:pPr>
                <w:r w:rsidRPr="0053099D">
                  <w:rPr>
                    <w:b/>
                    <w:color w:val="FFFFFF"/>
                    <w:sz w:val="22"/>
                  </w:rPr>
                  <w:t>Western Australia</w:t>
                </w:r>
              </w:p>
              <w:p w14:paraId="395377F2" w14:textId="4F4F9E18" w:rsidR="00223A48" w:rsidRPr="0053099D" w:rsidRDefault="00223A48" w:rsidP="00041A33">
                <w:pPr>
                  <w:jc w:val="right"/>
                  <w:rPr>
                    <w:b/>
                    <w:color w:val="FFFFFF"/>
                    <w:sz w:val="22"/>
                  </w:rPr>
                </w:pPr>
                <w:r>
                  <w:rPr>
                    <w:b/>
                    <w:color w:val="FFFFFF"/>
                    <w:sz w:val="22"/>
                  </w:rPr>
                  <w:t>Battery Minerals</w:t>
                </w:r>
                <w:r w:rsidRPr="0053099D">
                  <w:rPr>
                    <w:b/>
                    <w:color w:val="FFFFFF"/>
                    <w:sz w:val="22"/>
                  </w:rPr>
                  <w:t xml:space="preserve"> Profile</w:t>
                </w:r>
              </w:p>
              <w:p w14:paraId="4654C0BD" w14:textId="3DC6327D" w:rsidR="00223A48" w:rsidRPr="0053099D" w:rsidRDefault="007D1998" w:rsidP="00041A33">
                <w:pPr>
                  <w:jc w:val="right"/>
                  <w:rPr>
                    <w:color w:val="FFFFFF"/>
                    <w:sz w:val="22"/>
                  </w:rPr>
                </w:pPr>
                <w:r>
                  <w:rPr>
                    <w:color w:val="FFFFFF"/>
                    <w:sz w:val="22"/>
                  </w:rPr>
                  <w:t>Octo</w:t>
                </w:r>
                <w:r w:rsidR="0059555B">
                  <w:rPr>
                    <w:color w:val="FFFFFF"/>
                    <w:sz w:val="22"/>
                  </w:rPr>
                  <w:t>ber</w:t>
                </w:r>
                <w:r w:rsidR="00223A48" w:rsidRPr="0053099D">
                  <w:rPr>
                    <w:color w:val="FFFFFF"/>
                    <w:sz w:val="22"/>
                  </w:rPr>
                  <w:t xml:space="preserve"> 20</w:t>
                </w:r>
                <w:r w:rsidR="00223A48">
                  <w:rPr>
                    <w:color w:val="FFFFFF"/>
                    <w:sz w:val="22"/>
                  </w:rPr>
                  <w:t>20</w:t>
                </w:r>
              </w:p>
            </w:txbxContent>
          </v:textbox>
          <w10:wrap type="square"/>
        </v:shape>
      </w:pict>
    </w:r>
    <w:r>
      <w:pict w14:anchorId="0E231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3.65pt;height:86pt">
          <v:imagedata r:id="rId1" o:title="Header graphic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D2A9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EAE5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A4BB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601C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10E7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DE9A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FABF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28D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F893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5C98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854AA"/>
    <w:multiLevelType w:val="hybridMultilevel"/>
    <w:tmpl w:val="8C263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C701CF"/>
    <w:multiLevelType w:val="hybridMultilevel"/>
    <w:tmpl w:val="D87A6D68"/>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2969B8"/>
    <w:multiLevelType w:val="hybridMultilevel"/>
    <w:tmpl w:val="263E9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2D28AD"/>
    <w:multiLevelType w:val="hybridMultilevel"/>
    <w:tmpl w:val="18BE815A"/>
    <w:lvl w:ilvl="0" w:tplc="768690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D39CD"/>
    <w:multiLevelType w:val="hybridMultilevel"/>
    <w:tmpl w:val="49C44AF0"/>
    <w:lvl w:ilvl="0" w:tplc="B386A1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6F4E88"/>
    <w:multiLevelType w:val="hybridMultilevel"/>
    <w:tmpl w:val="B8A2B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972956"/>
    <w:multiLevelType w:val="hybridMultilevel"/>
    <w:tmpl w:val="1C565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FB596C"/>
    <w:multiLevelType w:val="hybridMultilevel"/>
    <w:tmpl w:val="9D9612E8"/>
    <w:lvl w:ilvl="0" w:tplc="3AF8AF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51491D"/>
    <w:multiLevelType w:val="hybridMultilevel"/>
    <w:tmpl w:val="9466A4AC"/>
    <w:lvl w:ilvl="0" w:tplc="B100EDDC">
      <w:start w:val="14"/>
      <w:numFmt w:val="bullet"/>
      <w:lvlText w:val=""/>
      <w:lvlJc w:val="left"/>
      <w:pPr>
        <w:ind w:left="-1341" w:hanging="360"/>
      </w:pPr>
      <w:rPr>
        <w:rFonts w:ascii="Symbol" w:eastAsia="Times New Roman" w:hAnsi="Symbol" w:cs="Times New Roman" w:hint="default"/>
      </w:rPr>
    </w:lvl>
    <w:lvl w:ilvl="1" w:tplc="0C090003" w:tentative="1">
      <w:start w:val="1"/>
      <w:numFmt w:val="bullet"/>
      <w:lvlText w:val="o"/>
      <w:lvlJc w:val="left"/>
      <w:pPr>
        <w:ind w:left="-621" w:hanging="360"/>
      </w:pPr>
      <w:rPr>
        <w:rFonts w:ascii="Courier New" w:hAnsi="Courier New" w:cs="Courier New" w:hint="default"/>
      </w:rPr>
    </w:lvl>
    <w:lvl w:ilvl="2" w:tplc="0C090005" w:tentative="1">
      <w:start w:val="1"/>
      <w:numFmt w:val="bullet"/>
      <w:lvlText w:val=""/>
      <w:lvlJc w:val="left"/>
      <w:pPr>
        <w:ind w:left="99" w:hanging="360"/>
      </w:pPr>
      <w:rPr>
        <w:rFonts w:ascii="Wingdings" w:hAnsi="Wingdings" w:hint="default"/>
      </w:rPr>
    </w:lvl>
    <w:lvl w:ilvl="3" w:tplc="0C090001" w:tentative="1">
      <w:start w:val="1"/>
      <w:numFmt w:val="bullet"/>
      <w:lvlText w:val=""/>
      <w:lvlJc w:val="left"/>
      <w:pPr>
        <w:ind w:left="819" w:hanging="360"/>
      </w:pPr>
      <w:rPr>
        <w:rFonts w:ascii="Symbol" w:hAnsi="Symbol" w:hint="default"/>
      </w:rPr>
    </w:lvl>
    <w:lvl w:ilvl="4" w:tplc="0C090003" w:tentative="1">
      <w:start w:val="1"/>
      <w:numFmt w:val="bullet"/>
      <w:lvlText w:val="o"/>
      <w:lvlJc w:val="left"/>
      <w:pPr>
        <w:ind w:left="1539" w:hanging="360"/>
      </w:pPr>
      <w:rPr>
        <w:rFonts w:ascii="Courier New" w:hAnsi="Courier New" w:cs="Courier New" w:hint="default"/>
      </w:rPr>
    </w:lvl>
    <w:lvl w:ilvl="5" w:tplc="0C090005" w:tentative="1">
      <w:start w:val="1"/>
      <w:numFmt w:val="bullet"/>
      <w:lvlText w:val=""/>
      <w:lvlJc w:val="left"/>
      <w:pPr>
        <w:ind w:left="2259" w:hanging="360"/>
      </w:pPr>
      <w:rPr>
        <w:rFonts w:ascii="Wingdings" w:hAnsi="Wingdings" w:hint="default"/>
      </w:rPr>
    </w:lvl>
    <w:lvl w:ilvl="6" w:tplc="0C090001" w:tentative="1">
      <w:start w:val="1"/>
      <w:numFmt w:val="bullet"/>
      <w:lvlText w:val=""/>
      <w:lvlJc w:val="left"/>
      <w:pPr>
        <w:ind w:left="2979" w:hanging="360"/>
      </w:pPr>
      <w:rPr>
        <w:rFonts w:ascii="Symbol" w:hAnsi="Symbol" w:hint="default"/>
      </w:rPr>
    </w:lvl>
    <w:lvl w:ilvl="7" w:tplc="0C090003" w:tentative="1">
      <w:start w:val="1"/>
      <w:numFmt w:val="bullet"/>
      <w:lvlText w:val="o"/>
      <w:lvlJc w:val="left"/>
      <w:pPr>
        <w:ind w:left="3699" w:hanging="360"/>
      </w:pPr>
      <w:rPr>
        <w:rFonts w:ascii="Courier New" w:hAnsi="Courier New" w:cs="Courier New" w:hint="default"/>
      </w:rPr>
    </w:lvl>
    <w:lvl w:ilvl="8" w:tplc="0C090005" w:tentative="1">
      <w:start w:val="1"/>
      <w:numFmt w:val="bullet"/>
      <w:lvlText w:val=""/>
      <w:lvlJc w:val="left"/>
      <w:pPr>
        <w:ind w:left="4419" w:hanging="360"/>
      </w:pPr>
      <w:rPr>
        <w:rFonts w:ascii="Wingdings" w:hAnsi="Wingdings" w:hint="default"/>
      </w:rPr>
    </w:lvl>
  </w:abstractNum>
  <w:abstractNum w:abstractNumId="20" w15:restartNumberingAfterBreak="0">
    <w:nsid w:val="5C6C5AEB"/>
    <w:multiLevelType w:val="hybridMultilevel"/>
    <w:tmpl w:val="5358A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76D6E"/>
    <w:multiLevelType w:val="hybridMultilevel"/>
    <w:tmpl w:val="9842C8A0"/>
    <w:lvl w:ilvl="0" w:tplc="845AE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63646E"/>
    <w:multiLevelType w:val="hybridMultilevel"/>
    <w:tmpl w:val="BF302940"/>
    <w:lvl w:ilvl="0" w:tplc="8DE4E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791E6A"/>
    <w:multiLevelType w:val="hybridMultilevel"/>
    <w:tmpl w:val="25548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5"/>
  </w:num>
  <w:num w:numId="14">
    <w:abstractNumId w:val="17"/>
  </w:num>
  <w:num w:numId="15">
    <w:abstractNumId w:val="12"/>
  </w:num>
  <w:num w:numId="16">
    <w:abstractNumId w:val="23"/>
  </w:num>
  <w:num w:numId="17">
    <w:abstractNumId w:val="10"/>
  </w:num>
  <w:num w:numId="18">
    <w:abstractNumId w:val="20"/>
  </w:num>
  <w:num w:numId="19">
    <w:abstractNumId w:val="18"/>
  </w:num>
  <w:num w:numId="20">
    <w:abstractNumId w:val="21"/>
  </w:num>
  <w:num w:numId="21">
    <w:abstractNumId w:val="13"/>
  </w:num>
  <w:num w:numId="22">
    <w:abstractNumId w:val="14"/>
  </w:num>
  <w:num w:numId="23">
    <w:abstractNumId w:val="19"/>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0">
      <o:colormenu v:ext="edit" fillcolor="none" strokecolor="none"/>
    </o:shapedefaults>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323"/>
    <w:rsid w:val="00000033"/>
    <w:rsid w:val="00000332"/>
    <w:rsid w:val="00000A91"/>
    <w:rsid w:val="00001113"/>
    <w:rsid w:val="00001A74"/>
    <w:rsid w:val="00003623"/>
    <w:rsid w:val="00003915"/>
    <w:rsid w:val="00003E9B"/>
    <w:rsid w:val="00004E81"/>
    <w:rsid w:val="0000526E"/>
    <w:rsid w:val="000056FA"/>
    <w:rsid w:val="000061F8"/>
    <w:rsid w:val="000067EB"/>
    <w:rsid w:val="00006FD0"/>
    <w:rsid w:val="00007A9B"/>
    <w:rsid w:val="00007E49"/>
    <w:rsid w:val="00010733"/>
    <w:rsid w:val="000111FF"/>
    <w:rsid w:val="000113BC"/>
    <w:rsid w:val="000164B3"/>
    <w:rsid w:val="00016CA1"/>
    <w:rsid w:val="00016EC6"/>
    <w:rsid w:val="0001730F"/>
    <w:rsid w:val="00017F75"/>
    <w:rsid w:val="00020A31"/>
    <w:rsid w:val="000220E8"/>
    <w:rsid w:val="0002373B"/>
    <w:rsid w:val="00024E42"/>
    <w:rsid w:val="000251BE"/>
    <w:rsid w:val="00027494"/>
    <w:rsid w:val="000279BE"/>
    <w:rsid w:val="00030539"/>
    <w:rsid w:val="00033490"/>
    <w:rsid w:val="000351C7"/>
    <w:rsid w:val="00036B9D"/>
    <w:rsid w:val="0003729C"/>
    <w:rsid w:val="0004185D"/>
    <w:rsid w:val="00041A33"/>
    <w:rsid w:val="00043CFC"/>
    <w:rsid w:val="000445BB"/>
    <w:rsid w:val="00044A8D"/>
    <w:rsid w:val="00044B9F"/>
    <w:rsid w:val="00044F3F"/>
    <w:rsid w:val="00045ECF"/>
    <w:rsid w:val="000469ED"/>
    <w:rsid w:val="00051505"/>
    <w:rsid w:val="00053758"/>
    <w:rsid w:val="000548BC"/>
    <w:rsid w:val="00054F37"/>
    <w:rsid w:val="000561E2"/>
    <w:rsid w:val="00056DB9"/>
    <w:rsid w:val="000575EB"/>
    <w:rsid w:val="00057C69"/>
    <w:rsid w:val="00057CF7"/>
    <w:rsid w:val="00057DC2"/>
    <w:rsid w:val="0006045E"/>
    <w:rsid w:val="00060C66"/>
    <w:rsid w:val="0006177C"/>
    <w:rsid w:val="00062B27"/>
    <w:rsid w:val="00062D81"/>
    <w:rsid w:val="00064143"/>
    <w:rsid w:val="0006430D"/>
    <w:rsid w:val="00065504"/>
    <w:rsid w:val="000658CF"/>
    <w:rsid w:val="00065B70"/>
    <w:rsid w:val="00066359"/>
    <w:rsid w:val="0006667C"/>
    <w:rsid w:val="000700C4"/>
    <w:rsid w:val="00070621"/>
    <w:rsid w:val="0007098A"/>
    <w:rsid w:val="00071BBB"/>
    <w:rsid w:val="00071D4A"/>
    <w:rsid w:val="00072037"/>
    <w:rsid w:val="00072490"/>
    <w:rsid w:val="00074A4A"/>
    <w:rsid w:val="00075665"/>
    <w:rsid w:val="0007616C"/>
    <w:rsid w:val="00077B33"/>
    <w:rsid w:val="00082D37"/>
    <w:rsid w:val="00083269"/>
    <w:rsid w:val="000838B5"/>
    <w:rsid w:val="00084349"/>
    <w:rsid w:val="00084A2B"/>
    <w:rsid w:val="00084FA0"/>
    <w:rsid w:val="00085CF9"/>
    <w:rsid w:val="0008610B"/>
    <w:rsid w:val="0008680A"/>
    <w:rsid w:val="000908C0"/>
    <w:rsid w:val="00091F72"/>
    <w:rsid w:val="00092237"/>
    <w:rsid w:val="0009246E"/>
    <w:rsid w:val="000953BA"/>
    <w:rsid w:val="00096267"/>
    <w:rsid w:val="000972A1"/>
    <w:rsid w:val="00097920"/>
    <w:rsid w:val="000A00D5"/>
    <w:rsid w:val="000A0798"/>
    <w:rsid w:val="000A2C61"/>
    <w:rsid w:val="000A3244"/>
    <w:rsid w:val="000A34DB"/>
    <w:rsid w:val="000A3500"/>
    <w:rsid w:val="000A3725"/>
    <w:rsid w:val="000A5D2B"/>
    <w:rsid w:val="000A6F91"/>
    <w:rsid w:val="000A7107"/>
    <w:rsid w:val="000A7D10"/>
    <w:rsid w:val="000B0014"/>
    <w:rsid w:val="000B0058"/>
    <w:rsid w:val="000B2E31"/>
    <w:rsid w:val="000B2E90"/>
    <w:rsid w:val="000B3E01"/>
    <w:rsid w:val="000B4E37"/>
    <w:rsid w:val="000B7112"/>
    <w:rsid w:val="000B7154"/>
    <w:rsid w:val="000C03A9"/>
    <w:rsid w:val="000C2F2E"/>
    <w:rsid w:val="000C4669"/>
    <w:rsid w:val="000C49DD"/>
    <w:rsid w:val="000C60DD"/>
    <w:rsid w:val="000C61E1"/>
    <w:rsid w:val="000D0864"/>
    <w:rsid w:val="000D0F8C"/>
    <w:rsid w:val="000D316D"/>
    <w:rsid w:val="000D5B08"/>
    <w:rsid w:val="000D7185"/>
    <w:rsid w:val="000E14E3"/>
    <w:rsid w:val="000E2A04"/>
    <w:rsid w:val="000E2BDF"/>
    <w:rsid w:val="000E56E4"/>
    <w:rsid w:val="000E61D6"/>
    <w:rsid w:val="000F0882"/>
    <w:rsid w:val="000F1525"/>
    <w:rsid w:val="000F16FD"/>
    <w:rsid w:val="000F27B6"/>
    <w:rsid w:val="000F417D"/>
    <w:rsid w:val="000F6CA6"/>
    <w:rsid w:val="000F6F77"/>
    <w:rsid w:val="000F7263"/>
    <w:rsid w:val="0010080D"/>
    <w:rsid w:val="00100E56"/>
    <w:rsid w:val="00101506"/>
    <w:rsid w:val="00101A3D"/>
    <w:rsid w:val="00101DC6"/>
    <w:rsid w:val="00101E52"/>
    <w:rsid w:val="0010318D"/>
    <w:rsid w:val="00105969"/>
    <w:rsid w:val="00105CE0"/>
    <w:rsid w:val="00105E4F"/>
    <w:rsid w:val="00110A72"/>
    <w:rsid w:val="00111E4C"/>
    <w:rsid w:val="0011209F"/>
    <w:rsid w:val="0011213A"/>
    <w:rsid w:val="00112321"/>
    <w:rsid w:val="00113D19"/>
    <w:rsid w:val="00114365"/>
    <w:rsid w:val="00114DCD"/>
    <w:rsid w:val="001158C8"/>
    <w:rsid w:val="00116307"/>
    <w:rsid w:val="0011650A"/>
    <w:rsid w:val="001167B2"/>
    <w:rsid w:val="00116984"/>
    <w:rsid w:val="00116990"/>
    <w:rsid w:val="00120FDB"/>
    <w:rsid w:val="00122764"/>
    <w:rsid w:val="00123413"/>
    <w:rsid w:val="00123EF4"/>
    <w:rsid w:val="00124109"/>
    <w:rsid w:val="00124ABE"/>
    <w:rsid w:val="001277D6"/>
    <w:rsid w:val="001279F4"/>
    <w:rsid w:val="00130D72"/>
    <w:rsid w:val="0013265C"/>
    <w:rsid w:val="00134386"/>
    <w:rsid w:val="00134E69"/>
    <w:rsid w:val="00134EE1"/>
    <w:rsid w:val="001351BE"/>
    <w:rsid w:val="00136389"/>
    <w:rsid w:val="0013640F"/>
    <w:rsid w:val="00136421"/>
    <w:rsid w:val="001368FD"/>
    <w:rsid w:val="00136F90"/>
    <w:rsid w:val="00137724"/>
    <w:rsid w:val="00137832"/>
    <w:rsid w:val="0013792B"/>
    <w:rsid w:val="00137EEF"/>
    <w:rsid w:val="0014051D"/>
    <w:rsid w:val="00141588"/>
    <w:rsid w:val="00141D09"/>
    <w:rsid w:val="0014212B"/>
    <w:rsid w:val="00142A00"/>
    <w:rsid w:val="00142B1C"/>
    <w:rsid w:val="00142BA5"/>
    <w:rsid w:val="001430F0"/>
    <w:rsid w:val="00143AC8"/>
    <w:rsid w:val="00143FDA"/>
    <w:rsid w:val="001445C3"/>
    <w:rsid w:val="00146B25"/>
    <w:rsid w:val="0014719E"/>
    <w:rsid w:val="00147FA9"/>
    <w:rsid w:val="00150411"/>
    <w:rsid w:val="00150C61"/>
    <w:rsid w:val="0015113E"/>
    <w:rsid w:val="0015595B"/>
    <w:rsid w:val="001560B8"/>
    <w:rsid w:val="00156119"/>
    <w:rsid w:val="001561AD"/>
    <w:rsid w:val="00157CBD"/>
    <w:rsid w:val="0016015F"/>
    <w:rsid w:val="00160EC3"/>
    <w:rsid w:val="00161303"/>
    <w:rsid w:val="00162A26"/>
    <w:rsid w:val="001664FE"/>
    <w:rsid w:val="00167A26"/>
    <w:rsid w:val="001735E5"/>
    <w:rsid w:val="00176F05"/>
    <w:rsid w:val="00180DE8"/>
    <w:rsid w:val="00181782"/>
    <w:rsid w:val="001818AC"/>
    <w:rsid w:val="0018198A"/>
    <w:rsid w:val="0018240C"/>
    <w:rsid w:val="00182A97"/>
    <w:rsid w:val="0018357B"/>
    <w:rsid w:val="001848E6"/>
    <w:rsid w:val="00184B5F"/>
    <w:rsid w:val="00184B85"/>
    <w:rsid w:val="00184C3A"/>
    <w:rsid w:val="00184D10"/>
    <w:rsid w:val="00185349"/>
    <w:rsid w:val="001867CB"/>
    <w:rsid w:val="00187C54"/>
    <w:rsid w:val="00190896"/>
    <w:rsid w:val="00190E06"/>
    <w:rsid w:val="00191182"/>
    <w:rsid w:val="00191977"/>
    <w:rsid w:val="001921EB"/>
    <w:rsid w:val="0019275B"/>
    <w:rsid w:val="00195022"/>
    <w:rsid w:val="001950BD"/>
    <w:rsid w:val="00195641"/>
    <w:rsid w:val="00195914"/>
    <w:rsid w:val="0019597F"/>
    <w:rsid w:val="00195EE7"/>
    <w:rsid w:val="00195F1C"/>
    <w:rsid w:val="001963FC"/>
    <w:rsid w:val="001A0074"/>
    <w:rsid w:val="001A06B2"/>
    <w:rsid w:val="001A4186"/>
    <w:rsid w:val="001A424F"/>
    <w:rsid w:val="001A4862"/>
    <w:rsid w:val="001A4878"/>
    <w:rsid w:val="001A53A4"/>
    <w:rsid w:val="001A66A4"/>
    <w:rsid w:val="001B38F0"/>
    <w:rsid w:val="001B3F21"/>
    <w:rsid w:val="001B42B6"/>
    <w:rsid w:val="001C00DF"/>
    <w:rsid w:val="001C203B"/>
    <w:rsid w:val="001C5477"/>
    <w:rsid w:val="001C5F4F"/>
    <w:rsid w:val="001C7611"/>
    <w:rsid w:val="001C7637"/>
    <w:rsid w:val="001D06F9"/>
    <w:rsid w:val="001D18BB"/>
    <w:rsid w:val="001D2E2D"/>
    <w:rsid w:val="001D316B"/>
    <w:rsid w:val="001D398E"/>
    <w:rsid w:val="001D4140"/>
    <w:rsid w:val="001D6985"/>
    <w:rsid w:val="001D6B53"/>
    <w:rsid w:val="001D6B6C"/>
    <w:rsid w:val="001E04A7"/>
    <w:rsid w:val="001E1580"/>
    <w:rsid w:val="001E1D16"/>
    <w:rsid w:val="001E4064"/>
    <w:rsid w:val="001E441A"/>
    <w:rsid w:val="001E4612"/>
    <w:rsid w:val="001E4949"/>
    <w:rsid w:val="001E5105"/>
    <w:rsid w:val="001E6EFE"/>
    <w:rsid w:val="001E7C8A"/>
    <w:rsid w:val="001F01B4"/>
    <w:rsid w:val="001F04E2"/>
    <w:rsid w:val="001F051F"/>
    <w:rsid w:val="001F14DB"/>
    <w:rsid w:val="001F163A"/>
    <w:rsid w:val="001F26D3"/>
    <w:rsid w:val="001F3506"/>
    <w:rsid w:val="001F3825"/>
    <w:rsid w:val="001F4270"/>
    <w:rsid w:val="001F6F48"/>
    <w:rsid w:val="00200AD0"/>
    <w:rsid w:val="002011E4"/>
    <w:rsid w:val="00201F04"/>
    <w:rsid w:val="0020265B"/>
    <w:rsid w:val="00202A34"/>
    <w:rsid w:val="00202C4B"/>
    <w:rsid w:val="00204F5F"/>
    <w:rsid w:val="002053EB"/>
    <w:rsid w:val="0020676B"/>
    <w:rsid w:val="0020708A"/>
    <w:rsid w:val="002102CC"/>
    <w:rsid w:val="0021046C"/>
    <w:rsid w:val="00210D59"/>
    <w:rsid w:val="002113A7"/>
    <w:rsid w:val="00211C0A"/>
    <w:rsid w:val="00213B45"/>
    <w:rsid w:val="00214089"/>
    <w:rsid w:val="00214AE9"/>
    <w:rsid w:val="00214BAE"/>
    <w:rsid w:val="00214D4F"/>
    <w:rsid w:val="00215671"/>
    <w:rsid w:val="002159EE"/>
    <w:rsid w:val="00220A6D"/>
    <w:rsid w:val="002219C9"/>
    <w:rsid w:val="00221DC6"/>
    <w:rsid w:val="00221F2F"/>
    <w:rsid w:val="002225C9"/>
    <w:rsid w:val="002229CD"/>
    <w:rsid w:val="00223A48"/>
    <w:rsid w:val="002249C4"/>
    <w:rsid w:val="00224CA2"/>
    <w:rsid w:val="00226166"/>
    <w:rsid w:val="00226535"/>
    <w:rsid w:val="00226AA4"/>
    <w:rsid w:val="00226FB8"/>
    <w:rsid w:val="0022792C"/>
    <w:rsid w:val="00227D7A"/>
    <w:rsid w:val="00230D12"/>
    <w:rsid w:val="00231B8D"/>
    <w:rsid w:val="00233729"/>
    <w:rsid w:val="002347E5"/>
    <w:rsid w:val="00235AB6"/>
    <w:rsid w:val="00235DC1"/>
    <w:rsid w:val="00236798"/>
    <w:rsid w:val="002368FE"/>
    <w:rsid w:val="00236BAF"/>
    <w:rsid w:val="00237A8B"/>
    <w:rsid w:val="00240520"/>
    <w:rsid w:val="002410C3"/>
    <w:rsid w:val="002411EC"/>
    <w:rsid w:val="0024139D"/>
    <w:rsid w:val="00241547"/>
    <w:rsid w:val="00242064"/>
    <w:rsid w:val="00242291"/>
    <w:rsid w:val="002423AC"/>
    <w:rsid w:val="00244DA1"/>
    <w:rsid w:val="0024757D"/>
    <w:rsid w:val="00247F7C"/>
    <w:rsid w:val="00251070"/>
    <w:rsid w:val="00251E35"/>
    <w:rsid w:val="002531F2"/>
    <w:rsid w:val="00253B05"/>
    <w:rsid w:val="0025460A"/>
    <w:rsid w:val="0025548E"/>
    <w:rsid w:val="00255B93"/>
    <w:rsid w:val="00255D48"/>
    <w:rsid w:val="00255E11"/>
    <w:rsid w:val="002563CA"/>
    <w:rsid w:val="002565AE"/>
    <w:rsid w:val="00256733"/>
    <w:rsid w:val="002570A1"/>
    <w:rsid w:val="002571B3"/>
    <w:rsid w:val="0025738B"/>
    <w:rsid w:val="00260ACE"/>
    <w:rsid w:val="002641CA"/>
    <w:rsid w:val="002654BB"/>
    <w:rsid w:val="0026567C"/>
    <w:rsid w:val="00265924"/>
    <w:rsid w:val="00265A5C"/>
    <w:rsid w:val="002675EF"/>
    <w:rsid w:val="00270EAB"/>
    <w:rsid w:val="00273589"/>
    <w:rsid w:val="00273CE7"/>
    <w:rsid w:val="0027402E"/>
    <w:rsid w:val="00274300"/>
    <w:rsid w:val="00275554"/>
    <w:rsid w:val="002759FB"/>
    <w:rsid w:val="00275C31"/>
    <w:rsid w:val="002766F6"/>
    <w:rsid w:val="00276CC9"/>
    <w:rsid w:val="002770DA"/>
    <w:rsid w:val="002774D7"/>
    <w:rsid w:val="00281515"/>
    <w:rsid w:val="0028210C"/>
    <w:rsid w:val="0028394D"/>
    <w:rsid w:val="00286E26"/>
    <w:rsid w:val="002903A4"/>
    <w:rsid w:val="002915A3"/>
    <w:rsid w:val="0029279C"/>
    <w:rsid w:val="002939AF"/>
    <w:rsid w:val="00295353"/>
    <w:rsid w:val="00296092"/>
    <w:rsid w:val="002961E8"/>
    <w:rsid w:val="002972F0"/>
    <w:rsid w:val="0029731F"/>
    <w:rsid w:val="002973B5"/>
    <w:rsid w:val="00297DE8"/>
    <w:rsid w:val="002A2190"/>
    <w:rsid w:val="002A301E"/>
    <w:rsid w:val="002A44D9"/>
    <w:rsid w:val="002A5141"/>
    <w:rsid w:val="002A787A"/>
    <w:rsid w:val="002B024C"/>
    <w:rsid w:val="002B4320"/>
    <w:rsid w:val="002B4722"/>
    <w:rsid w:val="002B4BB9"/>
    <w:rsid w:val="002B5899"/>
    <w:rsid w:val="002B5CA9"/>
    <w:rsid w:val="002B7A67"/>
    <w:rsid w:val="002B7BEB"/>
    <w:rsid w:val="002C0E79"/>
    <w:rsid w:val="002C1ED9"/>
    <w:rsid w:val="002C308D"/>
    <w:rsid w:val="002C420D"/>
    <w:rsid w:val="002C7FC4"/>
    <w:rsid w:val="002D003C"/>
    <w:rsid w:val="002D39FC"/>
    <w:rsid w:val="002D463F"/>
    <w:rsid w:val="002D6313"/>
    <w:rsid w:val="002E08D1"/>
    <w:rsid w:val="002E0C60"/>
    <w:rsid w:val="002E162B"/>
    <w:rsid w:val="002E25C7"/>
    <w:rsid w:val="002E367F"/>
    <w:rsid w:val="002E3BF9"/>
    <w:rsid w:val="002E4EEC"/>
    <w:rsid w:val="002E546F"/>
    <w:rsid w:val="002E5470"/>
    <w:rsid w:val="002E678E"/>
    <w:rsid w:val="002E6D4B"/>
    <w:rsid w:val="002F06DB"/>
    <w:rsid w:val="002F2781"/>
    <w:rsid w:val="002F2E92"/>
    <w:rsid w:val="002F329C"/>
    <w:rsid w:val="002F42ED"/>
    <w:rsid w:val="002F4694"/>
    <w:rsid w:val="002F627F"/>
    <w:rsid w:val="003008CF"/>
    <w:rsid w:val="00300E00"/>
    <w:rsid w:val="00303D2D"/>
    <w:rsid w:val="00304E19"/>
    <w:rsid w:val="0030557F"/>
    <w:rsid w:val="0030558D"/>
    <w:rsid w:val="00305946"/>
    <w:rsid w:val="00310067"/>
    <w:rsid w:val="00314550"/>
    <w:rsid w:val="003149D1"/>
    <w:rsid w:val="00314C69"/>
    <w:rsid w:val="00315228"/>
    <w:rsid w:val="00315627"/>
    <w:rsid w:val="0031581D"/>
    <w:rsid w:val="00315B5E"/>
    <w:rsid w:val="00316877"/>
    <w:rsid w:val="00317C7A"/>
    <w:rsid w:val="00317E4D"/>
    <w:rsid w:val="003203BD"/>
    <w:rsid w:val="003204AD"/>
    <w:rsid w:val="00320E97"/>
    <w:rsid w:val="003213EB"/>
    <w:rsid w:val="0032181A"/>
    <w:rsid w:val="00322C4C"/>
    <w:rsid w:val="00322C8A"/>
    <w:rsid w:val="00324930"/>
    <w:rsid w:val="00326E77"/>
    <w:rsid w:val="00326EBB"/>
    <w:rsid w:val="00327EBC"/>
    <w:rsid w:val="003300E5"/>
    <w:rsid w:val="0033235B"/>
    <w:rsid w:val="00332635"/>
    <w:rsid w:val="00333804"/>
    <w:rsid w:val="00333BB6"/>
    <w:rsid w:val="003347A2"/>
    <w:rsid w:val="003364EE"/>
    <w:rsid w:val="003368AD"/>
    <w:rsid w:val="00336AFD"/>
    <w:rsid w:val="00336B86"/>
    <w:rsid w:val="00336FFA"/>
    <w:rsid w:val="00337287"/>
    <w:rsid w:val="0033740A"/>
    <w:rsid w:val="003402EE"/>
    <w:rsid w:val="00340B42"/>
    <w:rsid w:val="00340F1F"/>
    <w:rsid w:val="003410DA"/>
    <w:rsid w:val="003435B7"/>
    <w:rsid w:val="00343D59"/>
    <w:rsid w:val="003440D5"/>
    <w:rsid w:val="003444EC"/>
    <w:rsid w:val="003501A2"/>
    <w:rsid w:val="00350623"/>
    <w:rsid w:val="00351790"/>
    <w:rsid w:val="00352DFD"/>
    <w:rsid w:val="00353987"/>
    <w:rsid w:val="00353E52"/>
    <w:rsid w:val="00354585"/>
    <w:rsid w:val="0035467B"/>
    <w:rsid w:val="00354B7A"/>
    <w:rsid w:val="00355910"/>
    <w:rsid w:val="00356D2B"/>
    <w:rsid w:val="003571A2"/>
    <w:rsid w:val="00357798"/>
    <w:rsid w:val="003578E3"/>
    <w:rsid w:val="003578E4"/>
    <w:rsid w:val="0036012F"/>
    <w:rsid w:val="00360417"/>
    <w:rsid w:val="003609C0"/>
    <w:rsid w:val="00363092"/>
    <w:rsid w:val="00364EE2"/>
    <w:rsid w:val="00366942"/>
    <w:rsid w:val="00366B04"/>
    <w:rsid w:val="00367300"/>
    <w:rsid w:val="003716A5"/>
    <w:rsid w:val="00371F34"/>
    <w:rsid w:val="00372760"/>
    <w:rsid w:val="003729C5"/>
    <w:rsid w:val="00373059"/>
    <w:rsid w:val="00373E7D"/>
    <w:rsid w:val="0037463D"/>
    <w:rsid w:val="003749CD"/>
    <w:rsid w:val="00374DED"/>
    <w:rsid w:val="003758C4"/>
    <w:rsid w:val="00376922"/>
    <w:rsid w:val="00377427"/>
    <w:rsid w:val="003776BA"/>
    <w:rsid w:val="00377EEB"/>
    <w:rsid w:val="00381208"/>
    <w:rsid w:val="00381639"/>
    <w:rsid w:val="003817A9"/>
    <w:rsid w:val="00383805"/>
    <w:rsid w:val="003846B1"/>
    <w:rsid w:val="00385D72"/>
    <w:rsid w:val="00386371"/>
    <w:rsid w:val="00386AC8"/>
    <w:rsid w:val="00387505"/>
    <w:rsid w:val="003906B1"/>
    <w:rsid w:val="00391CE7"/>
    <w:rsid w:val="00392454"/>
    <w:rsid w:val="0039264D"/>
    <w:rsid w:val="0039310D"/>
    <w:rsid w:val="003936F6"/>
    <w:rsid w:val="003949C7"/>
    <w:rsid w:val="00395F15"/>
    <w:rsid w:val="00396945"/>
    <w:rsid w:val="00396CE4"/>
    <w:rsid w:val="003A09CF"/>
    <w:rsid w:val="003A0FF7"/>
    <w:rsid w:val="003A133F"/>
    <w:rsid w:val="003A2566"/>
    <w:rsid w:val="003A37F7"/>
    <w:rsid w:val="003A479C"/>
    <w:rsid w:val="003A59C8"/>
    <w:rsid w:val="003A5C60"/>
    <w:rsid w:val="003A6ADB"/>
    <w:rsid w:val="003A70ED"/>
    <w:rsid w:val="003B285C"/>
    <w:rsid w:val="003B340C"/>
    <w:rsid w:val="003B3BF7"/>
    <w:rsid w:val="003B3CDF"/>
    <w:rsid w:val="003B4798"/>
    <w:rsid w:val="003B4C3D"/>
    <w:rsid w:val="003B5982"/>
    <w:rsid w:val="003C19BD"/>
    <w:rsid w:val="003C1E33"/>
    <w:rsid w:val="003C24F0"/>
    <w:rsid w:val="003C4622"/>
    <w:rsid w:val="003C512C"/>
    <w:rsid w:val="003C5787"/>
    <w:rsid w:val="003C5CB7"/>
    <w:rsid w:val="003C5D96"/>
    <w:rsid w:val="003D0837"/>
    <w:rsid w:val="003D2682"/>
    <w:rsid w:val="003D2B06"/>
    <w:rsid w:val="003D2F49"/>
    <w:rsid w:val="003D4495"/>
    <w:rsid w:val="003D51B6"/>
    <w:rsid w:val="003D5275"/>
    <w:rsid w:val="003D76D4"/>
    <w:rsid w:val="003E23B3"/>
    <w:rsid w:val="003E46DC"/>
    <w:rsid w:val="003E58EB"/>
    <w:rsid w:val="003E75AA"/>
    <w:rsid w:val="003E7BFA"/>
    <w:rsid w:val="003E7C38"/>
    <w:rsid w:val="003E7DDC"/>
    <w:rsid w:val="003F1629"/>
    <w:rsid w:val="003F16D3"/>
    <w:rsid w:val="003F6328"/>
    <w:rsid w:val="003F64CF"/>
    <w:rsid w:val="003F64E5"/>
    <w:rsid w:val="003F6CAB"/>
    <w:rsid w:val="003F7760"/>
    <w:rsid w:val="004017DB"/>
    <w:rsid w:val="00402272"/>
    <w:rsid w:val="00402EF0"/>
    <w:rsid w:val="0040380E"/>
    <w:rsid w:val="00403DF2"/>
    <w:rsid w:val="004041A7"/>
    <w:rsid w:val="004050E4"/>
    <w:rsid w:val="00405994"/>
    <w:rsid w:val="00406996"/>
    <w:rsid w:val="004103E2"/>
    <w:rsid w:val="00410CF7"/>
    <w:rsid w:val="0041106F"/>
    <w:rsid w:val="0041163D"/>
    <w:rsid w:val="00413432"/>
    <w:rsid w:val="00415FA2"/>
    <w:rsid w:val="00416BE8"/>
    <w:rsid w:val="004179C7"/>
    <w:rsid w:val="004206DD"/>
    <w:rsid w:val="00420F77"/>
    <w:rsid w:val="00420FAF"/>
    <w:rsid w:val="00421684"/>
    <w:rsid w:val="004218D0"/>
    <w:rsid w:val="00423CEA"/>
    <w:rsid w:val="00423ED9"/>
    <w:rsid w:val="00425BC4"/>
    <w:rsid w:val="00425C85"/>
    <w:rsid w:val="004272E0"/>
    <w:rsid w:val="00430B7A"/>
    <w:rsid w:val="00430C8B"/>
    <w:rsid w:val="00431600"/>
    <w:rsid w:val="00433D68"/>
    <w:rsid w:val="0043472F"/>
    <w:rsid w:val="0043485B"/>
    <w:rsid w:val="00435532"/>
    <w:rsid w:val="0043575E"/>
    <w:rsid w:val="004366EB"/>
    <w:rsid w:val="004442EF"/>
    <w:rsid w:val="004460CD"/>
    <w:rsid w:val="0044660C"/>
    <w:rsid w:val="00446B4D"/>
    <w:rsid w:val="00446F49"/>
    <w:rsid w:val="00447648"/>
    <w:rsid w:val="00447822"/>
    <w:rsid w:val="00450668"/>
    <w:rsid w:val="00451E41"/>
    <w:rsid w:val="00451EC3"/>
    <w:rsid w:val="00452361"/>
    <w:rsid w:val="004526BE"/>
    <w:rsid w:val="00453AB6"/>
    <w:rsid w:val="00453ECB"/>
    <w:rsid w:val="00454B08"/>
    <w:rsid w:val="00455C40"/>
    <w:rsid w:val="004567D5"/>
    <w:rsid w:val="00456BC4"/>
    <w:rsid w:val="0045714B"/>
    <w:rsid w:val="00457991"/>
    <w:rsid w:val="00457DCF"/>
    <w:rsid w:val="00461267"/>
    <w:rsid w:val="00462665"/>
    <w:rsid w:val="00463626"/>
    <w:rsid w:val="004653EF"/>
    <w:rsid w:val="004662AA"/>
    <w:rsid w:val="00466955"/>
    <w:rsid w:val="004669B9"/>
    <w:rsid w:val="00467AA7"/>
    <w:rsid w:val="00467B59"/>
    <w:rsid w:val="0047053A"/>
    <w:rsid w:val="004713E8"/>
    <w:rsid w:val="004715FF"/>
    <w:rsid w:val="004733F3"/>
    <w:rsid w:val="00473B2A"/>
    <w:rsid w:val="00473C6C"/>
    <w:rsid w:val="00474588"/>
    <w:rsid w:val="00476C32"/>
    <w:rsid w:val="004801DC"/>
    <w:rsid w:val="0048146D"/>
    <w:rsid w:val="004839FC"/>
    <w:rsid w:val="00485FA4"/>
    <w:rsid w:val="0048774B"/>
    <w:rsid w:val="00487BCA"/>
    <w:rsid w:val="004916E9"/>
    <w:rsid w:val="00494F41"/>
    <w:rsid w:val="0049526A"/>
    <w:rsid w:val="004955BA"/>
    <w:rsid w:val="0049787A"/>
    <w:rsid w:val="004A0559"/>
    <w:rsid w:val="004A05F4"/>
    <w:rsid w:val="004A17AA"/>
    <w:rsid w:val="004A1E29"/>
    <w:rsid w:val="004A2DE9"/>
    <w:rsid w:val="004A2FB7"/>
    <w:rsid w:val="004A4162"/>
    <w:rsid w:val="004A5400"/>
    <w:rsid w:val="004A6183"/>
    <w:rsid w:val="004A67D6"/>
    <w:rsid w:val="004A7AF4"/>
    <w:rsid w:val="004B0EAB"/>
    <w:rsid w:val="004B1198"/>
    <w:rsid w:val="004B3127"/>
    <w:rsid w:val="004B4AD8"/>
    <w:rsid w:val="004B4FBC"/>
    <w:rsid w:val="004B504C"/>
    <w:rsid w:val="004B5257"/>
    <w:rsid w:val="004B5CA6"/>
    <w:rsid w:val="004B6201"/>
    <w:rsid w:val="004B6408"/>
    <w:rsid w:val="004B725A"/>
    <w:rsid w:val="004B75C5"/>
    <w:rsid w:val="004C0D21"/>
    <w:rsid w:val="004C1118"/>
    <w:rsid w:val="004C33A5"/>
    <w:rsid w:val="004C58C1"/>
    <w:rsid w:val="004C666A"/>
    <w:rsid w:val="004C74FA"/>
    <w:rsid w:val="004D1022"/>
    <w:rsid w:val="004D113B"/>
    <w:rsid w:val="004D1BFF"/>
    <w:rsid w:val="004D1DE1"/>
    <w:rsid w:val="004D1EA3"/>
    <w:rsid w:val="004D1FB5"/>
    <w:rsid w:val="004D20D6"/>
    <w:rsid w:val="004D272F"/>
    <w:rsid w:val="004D2986"/>
    <w:rsid w:val="004D3270"/>
    <w:rsid w:val="004D432D"/>
    <w:rsid w:val="004D4F6D"/>
    <w:rsid w:val="004D5D15"/>
    <w:rsid w:val="004D5E97"/>
    <w:rsid w:val="004D639F"/>
    <w:rsid w:val="004D685C"/>
    <w:rsid w:val="004D6D9B"/>
    <w:rsid w:val="004E0038"/>
    <w:rsid w:val="004E080A"/>
    <w:rsid w:val="004E0B47"/>
    <w:rsid w:val="004E11F6"/>
    <w:rsid w:val="004E16EB"/>
    <w:rsid w:val="004E1D05"/>
    <w:rsid w:val="004E41FD"/>
    <w:rsid w:val="004E5268"/>
    <w:rsid w:val="004E67D9"/>
    <w:rsid w:val="004E77BF"/>
    <w:rsid w:val="004E7DCD"/>
    <w:rsid w:val="004F0CFC"/>
    <w:rsid w:val="004F0F5A"/>
    <w:rsid w:val="004F1082"/>
    <w:rsid w:val="004F1EA6"/>
    <w:rsid w:val="004F20DB"/>
    <w:rsid w:val="004F369F"/>
    <w:rsid w:val="004F49CC"/>
    <w:rsid w:val="004F56F2"/>
    <w:rsid w:val="004F58BD"/>
    <w:rsid w:val="004F5E9D"/>
    <w:rsid w:val="004F5F3B"/>
    <w:rsid w:val="004F6A16"/>
    <w:rsid w:val="004F6DF8"/>
    <w:rsid w:val="00500B90"/>
    <w:rsid w:val="00500BCD"/>
    <w:rsid w:val="005012A9"/>
    <w:rsid w:val="00503124"/>
    <w:rsid w:val="0050334F"/>
    <w:rsid w:val="00503826"/>
    <w:rsid w:val="00506443"/>
    <w:rsid w:val="005070BA"/>
    <w:rsid w:val="005078D9"/>
    <w:rsid w:val="00511308"/>
    <w:rsid w:val="00511F96"/>
    <w:rsid w:val="0051213C"/>
    <w:rsid w:val="00513740"/>
    <w:rsid w:val="00513B83"/>
    <w:rsid w:val="00513EAC"/>
    <w:rsid w:val="00515A17"/>
    <w:rsid w:val="00515CC0"/>
    <w:rsid w:val="00517E3D"/>
    <w:rsid w:val="00520AA4"/>
    <w:rsid w:val="00520EA3"/>
    <w:rsid w:val="0052250A"/>
    <w:rsid w:val="00523AF6"/>
    <w:rsid w:val="0052428F"/>
    <w:rsid w:val="005260A9"/>
    <w:rsid w:val="00526159"/>
    <w:rsid w:val="00526C12"/>
    <w:rsid w:val="00526E70"/>
    <w:rsid w:val="005274B0"/>
    <w:rsid w:val="00530847"/>
    <w:rsid w:val="0053099D"/>
    <w:rsid w:val="005313FF"/>
    <w:rsid w:val="00531DEC"/>
    <w:rsid w:val="00531E87"/>
    <w:rsid w:val="00531FE1"/>
    <w:rsid w:val="00532CA8"/>
    <w:rsid w:val="00533428"/>
    <w:rsid w:val="005341ED"/>
    <w:rsid w:val="005343B4"/>
    <w:rsid w:val="00534820"/>
    <w:rsid w:val="00534B99"/>
    <w:rsid w:val="00535878"/>
    <w:rsid w:val="00535BF9"/>
    <w:rsid w:val="00535E17"/>
    <w:rsid w:val="00535FE9"/>
    <w:rsid w:val="0053614B"/>
    <w:rsid w:val="005412F8"/>
    <w:rsid w:val="00541B7C"/>
    <w:rsid w:val="00543563"/>
    <w:rsid w:val="00543FF4"/>
    <w:rsid w:val="00544BA1"/>
    <w:rsid w:val="0054557D"/>
    <w:rsid w:val="00546A10"/>
    <w:rsid w:val="00546ED4"/>
    <w:rsid w:val="00547552"/>
    <w:rsid w:val="0054781C"/>
    <w:rsid w:val="00547C4C"/>
    <w:rsid w:val="005506A1"/>
    <w:rsid w:val="005510E3"/>
    <w:rsid w:val="005537A1"/>
    <w:rsid w:val="0055414B"/>
    <w:rsid w:val="00554395"/>
    <w:rsid w:val="00554652"/>
    <w:rsid w:val="005548CA"/>
    <w:rsid w:val="00555736"/>
    <w:rsid w:val="005567BB"/>
    <w:rsid w:val="00556D68"/>
    <w:rsid w:val="00563697"/>
    <w:rsid w:val="00563C55"/>
    <w:rsid w:val="00564365"/>
    <w:rsid w:val="00564C04"/>
    <w:rsid w:val="005650B1"/>
    <w:rsid w:val="00565648"/>
    <w:rsid w:val="005661B6"/>
    <w:rsid w:val="00566A10"/>
    <w:rsid w:val="00567085"/>
    <w:rsid w:val="00570901"/>
    <w:rsid w:val="0057165C"/>
    <w:rsid w:val="0057191E"/>
    <w:rsid w:val="00571E5D"/>
    <w:rsid w:val="0057287F"/>
    <w:rsid w:val="00572D89"/>
    <w:rsid w:val="00574372"/>
    <w:rsid w:val="00575A3C"/>
    <w:rsid w:val="005765C3"/>
    <w:rsid w:val="0057677C"/>
    <w:rsid w:val="00580D1A"/>
    <w:rsid w:val="00583B1D"/>
    <w:rsid w:val="00583EE9"/>
    <w:rsid w:val="00584254"/>
    <w:rsid w:val="00586268"/>
    <w:rsid w:val="00586BC3"/>
    <w:rsid w:val="00586EAA"/>
    <w:rsid w:val="00590FB6"/>
    <w:rsid w:val="00591B37"/>
    <w:rsid w:val="00592FA7"/>
    <w:rsid w:val="00593D5C"/>
    <w:rsid w:val="00593DD1"/>
    <w:rsid w:val="005947DA"/>
    <w:rsid w:val="00594C94"/>
    <w:rsid w:val="0059555B"/>
    <w:rsid w:val="005977A5"/>
    <w:rsid w:val="00597846"/>
    <w:rsid w:val="00597EEA"/>
    <w:rsid w:val="005A09FD"/>
    <w:rsid w:val="005A118C"/>
    <w:rsid w:val="005A3099"/>
    <w:rsid w:val="005A6044"/>
    <w:rsid w:val="005A6B10"/>
    <w:rsid w:val="005B0075"/>
    <w:rsid w:val="005B1425"/>
    <w:rsid w:val="005B1453"/>
    <w:rsid w:val="005B170C"/>
    <w:rsid w:val="005B1ABA"/>
    <w:rsid w:val="005B2C9C"/>
    <w:rsid w:val="005B2D45"/>
    <w:rsid w:val="005B2FF5"/>
    <w:rsid w:val="005B3A46"/>
    <w:rsid w:val="005B4C18"/>
    <w:rsid w:val="005B5426"/>
    <w:rsid w:val="005B68AC"/>
    <w:rsid w:val="005C0943"/>
    <w:rsid w:val="005C0A48"/>
    <w:rsid w:val="005C121F"/>
    <w:rsid w:val="005C19B1"/>
    <w:rsid w:val="005C4B3E"/>
    <w:rsid w:val="005C6D61"/>
    <w:rsid w:val="005C720D"/>
    <w:rsid w:val="005C74D0"/>
    <w:rsid w:val="005C7E1E"/>
    <w:rsid w:val="005C7EBB"/>
    <w:rsid w:val="005D1313"/>
    <w:rsid w:val="005D340B"/>
    <w:rsid w:val="005D3B35"/>
    <w:rsid w:val="005D3D69"/>
    <w:rsid w:val="005D765C"/>
    <w:rsid w:val="005E0440"/>
    <w:rsid w:val="005E23E3"/>
    <w:rsid w:val="005E28E4"/>
    <w:rsid w:val="005E793A"/>
    <w:rsid w:val="005E7B72"/>
    <w:rsid w:val="005E7CDB"/>
    <w:rsid w:val="005F35F7"/>
    <w:rsid w:val="005F5864"/>
    <w:rsid w:val="005F600D"/>
    <w:rsid w:val="005F63B7"/>
    <w:rsid w:val="005F6A39"/>
    <w:rsid w:val="005F7EA8"/>
    <w:rsid w:val="00600D12"/>
    <w:rsid w:val="0060403F"/>
    <w:rsid w:val="00607F76"/>
    <w:rsid w:val="00611744"/>
    <w:rsid w:val="0061358F"/>
    <w:rsid w:val="00613EFB"/>
    <w:rsid w:val="006148BB"/>
    <w:rsid w:val="00614ACA"/>
    <w:rsid w:val="006150C1"/>
    <w:rsid w:val="00615DCB"/>
    <w:rsid w:val="00616587"/>
    <w:rsid w:val="00620297"/>
    <w:rsid w:val="00622443"/>
    <w:rsid w:val="006236CC"/>
    <w:rsid w:val="00623EED"/>
    <w:rsid w:val="00625A23"/>
    <w:rsid w:val="00625CF8"/>
    <w:rsid w:val="00626885"/>
    <w:rsid w:val="00626B8F"/>
    <w:rsid w:val="006277E2"/>
    <w:rsid w:val="006279BB"/>
    <w:rsid w:val="00630F27"/>
    <w:rsid w:val="00631244"/>
    <w:rsid w:val="00633082"/>
    <w:rsid w:val="006340DE"/>
    <w:rsid w:val="00634CBB"/>
    <w:rsid w:val="00635697"/>
    <w:rsid w:val="00635E31"/>
    <w:rsid w:val="0063711E"/>
    <w:rsid w:val="00637E8D"/>
    <w:rsid w:val="0064056B"/>
    <w:rsid w:val="00640765"/>
    <w:rsid w:val="0064231A"/>
    <w:rsid w:val="00643ECB"/>
    <w:rsid w:val="00646129"/>
    <w:rsid w:val="006469E1"/>
    <w:rsid w:val="00646DA9"/>
    <w:rsid w:val="006470C8"/>
    <w:rsid w:val="006475CA"/>
    <w:rsid w:val="00647888"/>
    <w:rsid w:val="00647DF8"/>
    <w:rsid w:val="006506B2"/>
    <w:rsid w:val="0065160B"/>
    <w:rsid w:val="00652817"/>
    <w:rsid w:val="006528CB"/>
    <w:rsid w:val="006542CD"/>
    <w:rsid w:val="0065645F"/>
    <w:rsid w:val="00656631"/>
    <w:rsid w:val="006618A5"/>
    <w:rsid w:val="006619C1"/>
    <w:rsid w:val="00661EC2"/>
    <w:rsid w:val="0066207C"/>
    <w:rsid w:val="0066246B"/>
    <w:rsid w:val="00662D79"/>
    <w:rsid w:val="00664657"/>
    <w:rsid w:val="006647E8"/>
    <w:rsid w:val="00666138"/>
    <w:rsid w:val="0066648E"/>
    <w:rsid w:val="00666799"/>
    <w:rsid w:val="0067005E"/>
    <w:rsid w:val="006707EF"/>
    <w:rsid w:val="00670F51"/>
    <w:rsid w:val="00671249"/>
    <w:rsid w:val="00672EC1"/>
    <w:rsid w:val="00673DB5"/>
    <w:rsid w:val="0067554D"/>
    <w:rsid w:val="00681186"/>
    <w:rsid w:val="00681410"/>
    <w:rsid w:val="00681ADF"/>
    <w:rsid w:val="00682591"/>
    <w:rsid w:val="00683CA8"/>
    <w:rsid w:val="00683F8F"/>
    <w:rsid w:val="006843CB"/>
    <w:rsid w:val="00691837"/>
    <w:rsid w:val="006924FB"/>
    <w:rsid w:val="00692AEF"/>
    <w:rsid w:val="006932B3"/>
    <w:rsid w:val="00695462"/>
    <w:rsid w:val="0069550D"/>
    <w:rsid w:val="00696227"/>
    <w:rsid w:val="00697E00"/>
    <w:rsid w:val="006A04AE"/>
    <w:rsid w:val="006A0A29"/>
    <w:rsid w:val="006A19C2"/>
    <w:rsid w:val="006A1C58"/>
    <w:rsid w:val="006A24DA"/>
    <w:rsid w:val="006A2F82"/>
    <w:rsid w:val="006A3301"/>
    <w:rsid w:val="006A37C9"/>
    <w:rsid w:val="006A6DB5"/>
    <w:rsid w:val="006B09F6"/>
    <w:rsid w:val="006B0B45"/>
    <w:rsid w:val="006B2558"/>
    <w:rsid w:val="006B3DBD"/>
    <w:rsid w:val="006B459D"/>
    <w:rsid w:val="006B4B4B"/>
    <w:rsid w:val="006B4DB4"/>
    <w:rsid w:val="006B63A3"/>
    <w:rsid w:val="006B7DE1"/>
    <w:rsid w:val="006C03EE"/>
    <w:rsid w:val="006C0F14"/>
    <w:rsid w:val="006C1BE4"/>
    <w:rsid w:val="006C1E1F"/>
    <w:rsid w:val="006C3F32"/>
    <w:rsid w:val="006C4137"/>
    <w:rsid w:val="006C5401"/>
    <w:rsid w:val="006C5B8E"/>
    <w:rsid w:val="006C70EB"/>
    <w:rsid w:val="006D024A"/>
    <w:rsid w:val="006D0B7C"/>
    <w:rsid w:val="006D124E"/>
    <w:rsid w:val="006D132F"/>
    <w:rsid w:val="006D1A42"/>
    <w:rsid w:val="006D2BA4"/>
    <w:rsid w:val="006D3653"/>
    <w:rsid w:val="006D37E0"/>
    <w:rsid w:val="006D3B0C"/>
    <w:rsid w:val="006D48D4"/>
    <w:rsid w:val="006D5DE7"/>
    <w:rsid w:val="006D7102"/>
    <w:rsid w:val="006D7C89"/>
    <w:rsid w:val="006D7FCE"/>
    <w:rsid w:val="006E0720"/>
    <w:rsid w:val="006E0F90"/>
    <w:rsid w:val="006E1193"/>
    <w:rsid w:val="006E3B7F"/>
    <w:rsid w:val="006E41EB"/>
    <w:rsid w:val="006E506C"/>
    <w:rsid w:val="006E60CD"/>
    <w:rsid w:val="006E6A82"/>
    <w:rsid w:val="006E770E"/>
    <w:rsid w:val="006E778C"/>
    <w:rsid w:val="006F2565"/>
    <w:rsid w:val="006F2D43"/>
    <w:rsid w:val="006F380A"/>
    <w:rsid w:val="006F39D1"/>
    <w:rsid w:val="006F4BB5"/>
    <w:rsid w:val="006F62AD"/>
    <w:rsid w:val="006F6F11"/>
    <w:rsid w:val="0070088F"/>
    <w:rsid w:val="0070208A"/>
    <w:rsid w:val="00704FEF"/>
    <w:rsid w:val="007054C5"/>
    <w:rsid w:val="00705F08"/>
    <w:rsid w:val="00707012"/>
    <w:rsid w:val="00707292"/>
    <w:rsid w:val="0070735A"/>
    <w:rsid w:val="007074C9"/>
    <w:rsid w:val="0070759B"/>
    <w:rsid w:val="007126F3"/>
    <w:rsid w:val="00712B8A"/>
    <w:rsid w:val="00713333"/>
    <w:rsid w:val="00716C71"/>
    <w:rsid w:val="00716F3D"/>
    <w:rsid w:val="00720A7B"/>
    <w:rsid w:val="007210D8"/>
    <w:rsid w:val="00721409"/>
    <w:rsid w:val="00721FDB"/>
    <w:rsid w:val="00722DEF"/>
    <w:rsid w:val="00722E2F"/>
    <w:rsid w:val="00724010"/>
    <w:rsid w:val="00725A81"/>
    <w:rsid w:val="0073014D"/>
    <w:rsid w:val="00730636"/>
    <w:rsid w:val="0073164E"/>
    <w:rsid w:val="007337CA"/>
    <w:rsid w:val="00734047"/>
    <w:rsid w:val="007379F3"/>
    <w:rsid w:val="00737A0E"/>
    <w:rsid w:val="007400DB"/>
    <w:rsid w:val="00740133"/>
    <w:rsid w:val="007416F4"/>
    <w:rsid w:val="0074217D"/>
    <w:rsid w:val="0074248E"/>
    <w:rsid w:val="00742581"/>
    <w:rsid w:val="00743712"/>
    <w:rsid w:val="0074378F"/>
    <w:rsid w:val="0074484B"/>
    <w:rsid w:val="00745E84"/>
    <w:rsid w:val="0074612D"/>
    <w:rsid w:val="007462CC"/>
    <w:rsid w:val="00746BB9"/>
    <w:rsid w:val="007470DD"/>
    <w:rsid w:val="007509B6"/>
    <w:rsid w:val="00750EC0"/>
    <w:rsid w:val="00751BA3"/>
    <w:rsid w:val="007523C0"/>
    <w:rsid w:val="00753118"/>
    <w:rsid w:val="00753FF3"/>
    <w:rsid w:val="00754E44"/>
    <w:rsid w:val="007560F2"/>
    <w:rsid w:val="0075617B"/>
    <w:rsid w:val="007563BE"/>
    <w:rsid w:val="007574DA"/>
    <w:rsid w:val="00757ADA"/>
    <w:rsid w:val="0076069C"/>
    <w:rsid w:val="007607AC"/>
    <w:rsid w:val="00763EA8"/>
    <w:rsid w:val="007644EB"/>
    <w:rsid w:val="0076552C"/>
    <w:rsid w:val="00766255"/>
    <w:rsid w:val="00766661"/>
    <w:rsid w:val="0076748D"/>
    <w:rsid w:val="0076782B"/>
    <w:rsid w:val="007709C1"/>
    <w:rsid w:val="007714DE"/>
    <w:rsid w:val="00771B2C"/>
    <w:rsid w:val="007727A0"/>
    <w:rsid w:val="00772F3D"/>
    <w:rsid w:val="0077362A"/>
    <w:rsid w:val="00773B1A"/>
    <w:rsid w:val="00773B5C"/>
    <w:rsid w:val="0077446C"/>
    <w:rsid w:val="00780F4F"/>
    <w:rsid w:val="0078176C"/>
    <w:rsid w:val="00782DC7"/>
    <w:rsid w:val="0078353A"/>
    <w:rsid w:val="007842D5"/>
    <w:rsid w:val="007854F3"/>
    <w:rsid w:val="0078673B"/>
    <w:rsid w:val="00791F4D"/>
    <w:rsid w:val="00792346"/>
    <w:rsid w:val="007931B1"/>
    <w:rsid w:val="0079330A"/>
    <w:rsid w:val="00793651"/>
    <w:rsid w:val="007936E7"/>
    <w:rsid w:val="007954AB"/>
    <w:rsid w:val="007964B5"/>
    <w:rsid w:val="00796816"/>
    <w:rsid w:val="00796B25"/>
    <w:rsid w:val="0079759D"/>
    <w:rsid w:val="00797B7F"/>
    <w:rsid w:val="00797DDC"/>
    <w:rsid w:val="007A10AF"/>
    <w:rsid w:val="007A1B5D"/>
    <w:rsid w:val="007A1D83"/>
    <w:rsid w:val="007A1DC8"/>
    <w:rsid w:val="007A207D"/>
    <w:rsid w:val="007A46DB"/>
    <w:rsid w:val="007A624E"/>
    <w:rsid w:val="007A674E"/>
    <w:rsid w:val="007A6C2E"/>
    <w:rsid w:val="007A78D8"/>
    <w:rsid w:val="007B2EE8"/>
    <w:rsid w:val="007B36E9"/>
    <w:rsid w:val="007B4471"/>
    <w:rsid w:val="007B4B4E"/>
    <w:rsid w:val="007B5037"/>
    <w:rsid w:val="007B5409"/>
    <w:rsid w:val="007B57F6"/>
    <w:rsid w:val="007B60AB"/>
    <w:rsid w:val="007B62CE"/>
    <w:rsid w:val="007C234F"/>
    <w:rsid w:val="007C2A9F"/>
    <w:rsid w:val="007C2E8A"/>
    <w:rsid w:val="007C4EA9"/>
    <w:rsid w:val="007C6036"/>
    <w:rsid w:val="007C60C3"/>
    <w:rsid w:val="007C6279"/>
    <w:rsid w:val="007C63C8"/>
    <w:rsid w:val="007C7B18"/>
    <w:rsid w:val="007C7C0E"/>
    <w:rsid w:val="007C7FA8"/>
    <w:rsid w:val="007D12F2"/>
    <w:rsid w:val="007D1363"/>
    <w:rsid w:val="007D1939"/>
    <w:rsid w:val="007D1998"/>
    <w:rsid w:val="007D3344"/>
    <w:rsid w:val="007D3695"/>
    <w:rsid w:val="007D6303"/>
    <w:rsid w:val="007D6373"/>
    <w:rsid w:val="007D6D8C"/>
    <w:rsid w:val="007D7911"/>
    <w:rsid w:val="007E0221"/>
    <w:rsid w:val="007E3EBF"/>
    <w:rsid w:val="007E60B0"/>
    <w:rsid w:val="007E6F32"/>
    <w:rsid w:val="007E79B6"/>
    <w:rsid w:val="007F066D"/>
    <w:rsid w:val="007F0DE0"/>
    <w:rsid w:val="007F0EF3"/>
    <w:rsid w:val="007F33D7"/>
    <w:rsid w:val="007F44F5"/>
    <w:rsid w:val="007F48CB"/>
    <w:rsid w:val="007F5847"/>
    <w:rsid w:val="007F58D6"/>
    <w:rsid w:val="007F5EFA"/>
    <w:rsid w:val="007F604A"/>
    <w:rsid w:val="007F6238"/>
    <w:rsid w:val="007F6306"/>
    <w:rsid w:val="007F6472"/>
    <w:rsid w:val="007F6601"/>
    <w:rsid w:val="007F728F"/>
    <w:rsid w:val="007F7790"/>
    <w:rsid w:val="007F7AF5"/>
    <w:rsid w:val="00800773"/>
    <w:rsid w:val="00800EC6"/>
    <w:rsid w:val="0080174E"/>
    <w:rsid w:val="008045AE"/>
    <w:rsid w:val="00804A44"/>
    <w:rsid w:val="00804D3D"/>
    <w:rsid w:val="00805264"/>
    <w:rsid w:val="00805720"/>
    <w:rsid w:val="008066C3"/>
    <w:rsid w:val="008078D4"/>
    <w:rsid w:val="008078EB"/>
    <w:rsid w:val="00810B22"/>
    <w:rsid w:val="00811BF4"/>
    <w:rsid w:val="00813233"/>
    <w:rsid w:val="0081508D"/>
    <w:rsid w:val="00815301"/>
    <w:rsid w:val="00815C7B"/>
    <w:rsid w:val="00815E8D"/>
    <w:rsid w:val="0081617D"/>
    <w:rsid w:val="00816198"/>
    <w:rsid w:val="008166EE"/>
    <w:rsid w:val="00820D04"/>
    <w:rsid w:val="00820FC2"/>
    <w:rsid w:val="008211B4"/>
    <w:rsid w:val="00821E74"/>
    <w:rsid w:val="00822339"/>
    <w:rsid w:val="00822D8C"/>
    <w:rsid w:val="00823B59"/>
    <w:rsid w:val="0082567D"/>
    <w:rsid w:val="0082590B"/>
    <w:rsid w:val="00826AD3"/>
    <w:rsid w:val="00827092"/>
    <w:rsid w:val="0082787B"/>
    <w:rsid w:val="00830F61"/>
    <w:rsid w:val="00832256"/>
    <w:rsid w:val="00833A56"/>
    <w:rsid w:val="00833B3E"/>
    <w:rsid w:val="0083480D"/>
    <w:rsid w:val="008348E0"/>
    <w:rsid w:val="00835476"/>
    <w:rsid w:val="00836754"/>
    <w:rsid w:val="008369FC"/>
    <w:rsid w:val="00837910"/>
    <w:rsid w:val="00840034"/>
    <w:rsid w:val="00840744"/>
    <w:rsid w:val="00840C87"/>
    <w:rsid w:val="0084104E"/>
    <w:rsid w:val="008431D6"/>
    <w:rsid w:val="0084496C"/>
    <w:rsid w:val="008454F0"/>
    <w:rsid w:val="00845924"/>
    <w:rsid w:val="00846023"/>
    <w:rsid w:val="008466B5"/>
    <w:rsid w:val="008501D8"/>
    <w:rsid w:val="008514A3"/>
    <w:rsid w:val="008517D3"/>
    <w:rsid w:val="00852719"/>
    <w:rsid w:val="00852CF6"/>
    <w:rsid w:val="008537B6"/>
    <w:rsid w:val="00854F50"/>
    <w:rsid w:val="0085509F"/>
    <w:rsid w:val="008558D7"/>
    <w:rsid w:val="008577D9"/>
    <w:rsid w:val="00857EE8"/>
    <w:rsid w:val="00860054"/>
    <w:rsid w:val="0086075C"/>
    <w:rsid w:val="008612D5"/>
    <w:rsid w:val="00861BD3"/>
    <w:rsid w:val="00861CDE"/>
    <w:rsid w:val="008626D2"/>
    <w:rsid w:val="00862788"/>
    <w:rsid w:val="00863136"/>
    <w:rsid w:val="00863DBD"/>
    <w:rsid w:val="008648C6"/>
    <w:rsid w:val="00864E96"/>
    <w:rsid w:val="0086620C"/>
    <w:rsid w:val="00870240"/>
    <w:rsid w:val="00870E7B"/>
    <w:rsid w:val="00871D03"/>
    <w:rsid w:val="008721E1"/>
    <w:rsid w:val="008728E5"/>
    <w:rsid w:val="00872992"/>
    <w:rsid w:val="00872DAC"/>
    <w:rsid w:val="00873373"/>
    <w:rsid w:val="008734DE"/>
    <w:rsid w:val="008734FF"/>
    <w:rsid w:val="00873D1B"/>
    <w:rsid w:val="00874ADC"/>
    <w:rsid w:val="0087523A"/>
    <w:rsid w:val="0087643E"/>
    <w:rsid w:val="00876560"/>
    <w:rsid w:val="00876D34"/>
    <w:rsid w:val="00880708"/>
    <w:rsid w:val="008808F4"/>
    <w:rsid w:val="00880DDD"/>
    <w:rsid w:val="008810DA"/>
    <w:rsid w:val="00881892"/>
    <w:rsid w:val="008840EE"/>
    <w:rsid w:val="00885768"/>
    <w:rsid w:val="00885EFA"/>
    <w:rsid w:val="00886B7A"/>
    <w:rsid w:val="00886F32"/>
    <w:rsid w:val="0088747F"/>
    <w:rsid w:val="008877FB"/>
    <w:rsid w:val="00887F27"/>
    <w:rsid w:val="008900B2"/>
    <w:rsid w:val="0089047C"/>
    <w:rsid w:val="00891D56"/>
    <w:rsid w:val="0089219D"/>
    <w:rsid w:val="00892396"/>
    <w:rsid w:val="008927F3"/>
    <w:rsid w:val="008941C9"/>
    <w:rsid w:val="00894C9D"/>
    <w:rsid w:val="00895B93"/>
    <w:rsid w:val="00896A02"/>
    <w:rsid w:val="00897237"/>
    <w:rsid w:val="008A066F"/>
    <w:rsid w:val="008A08B4"/>
    <w:rsid w:val="008A28BE"/>
    <w:rsid w:val="008A3826"/>
    <w:rsid w:val="008A4101"/>
    <w:rsid w:val="008A5EE2"/>
    <w:rsid w:val="008A6A32"/>
    <w:rsid w:val="008A6D33"/>
    <w:rsid w:val="008A6F70"/>
    <w:rsid w:val="008A7563"/>
    <w:rsid w:val="008A7BA4"/>
    <w:rsid w:val="008A7BDC"/>
    <w:rsid w:val="008B046F"/>
    <w:rsid w:val="008B0821"/>
    <w:rsid w:val="008B39D9"/>
    <w:rsid w:val="008B3C17"/>
    <w:rsid w:val="008B450E"/>
    <w:rsid w:val="008B4F99"/>
    <w:rsid w:val="008B530E"/>
    <w:rsid w:val="008B5DE6"/>
    <w:rsid w:val="008B6D82"/>
    <w:rsid w:val="008B74D3"/>
    <w:rsid w:val="008B7501"/>
    <w:rsid w:val="008B7547"/>
    <w:rsid w:val="008C0A17"/>
    <w:rsid w:val="008C3183"/>
    <w:rsid w:val="008C382C"/>
    <w:rsid w:val="008C3EB7"/>
    <w:rsid w:val="008C43C6"/>
    <w:rsid w:val="008C62D4"/>
    <w:rsid w:val="008C6516"/>
    <w:rsid w:val="008C6C55"/>
    <w:rsid w:val="008D0350"/>
    <w:rsid w:val="008D0CF6"/>
    <w:rsid w:val="008D2303"/>
    <w:rsid w:val="008D4323"/>
    <w:rsid w:val="008D5D9F"/>
    <w:rsid w:val="008D762B"/>
    <w:rsid w:val="008D766F"/>
    <w:rsid w:val="008E0C1E"/>
    <w:rsid w:val="008E1B69"/>
    <w:rsid w:val="008E2CE7"/>
    <w:rsid w:val="008E31B3"/>
    <w:rsid w:val="008E48A1"/>
    <w:rsid w:val="008E6F33"/>
    <w:rsid w:val="008E7415"/>
    <w:rsid w:val="008E7D6C"/>
    <w:rsid w:val="008E7EAB"/>
    <w:rsid w:val="008F009C"/>
    <w:rsid w:val="008F014F"/>
    <w:rsid w:val="008F0B61"/>
    <w:rsid w:val="008F0FD1"/>
    <w:rsid w:val="008F26F9"/>
    <w:rsid w:val="008F35C9"/>
    <w:rsid w:val="008F3E82"/>
    <w:rsid w:val="008F41D1"/>
    <w:rsid w:val="008F4EE4"/>
    <w:rsid w:val="008F5889"/>
    <w:rsid w:val="008F5BD3"/>
    <w:rsid w:val="008F5C7C"/>
    <w:rsid w:val="008F6CBF"/>
    <w:rsid w:val="008F795A"/>
    <w:rsid w:val="008F7A9D"/>
    <w:rsid w:val="0090133C"/>
    <w:rsid w:val="00901C00"/>
    <w:rsid w:val="00901C04"/>
    <w:rsid w:val="00902003"/>
    <w:rsid w:val="0090265E"/>
    <w:rsid w:val="009077C2"/>
    <w:rsid w:val="00911D11"/>
    <w:rsid w:val="00912B98"/>
    <w:rsid w:val="0091326F"/>
    <w:rsid w:val="00913D17"/>
    <w:rsid w:val="00916A52"/>
    <w:rsid w:val="00917535"/>
    <w:rsid w:val="009200B3"/>
    <w:rsid w:val="0092154D"/>
    <w:rsid w:val="009229DC"/>
    <w:rsid w:val="009244B3"/>
    <w:rsid w:val="00924AB3"/>
    <w:rsid w:val="00924EDD"/>
    <w:rsid w:val="00927D88"/>
    <w:rsid w:val="009305A5"/>
    <w:rsid w:val="0093126C"/>
    <w:rsid w:val="0093275D"/>
    <w:rsid w:val="00932994"/>
    <w:rsid w:val="00932CF8"/>
    <w:rsid w:val="009336F9"/>
    <w:rsid w:val="00933859"/>
    <w:rsid w:val="0093574A"/>
    <w:rsid w:val="00935A30"/>
    <w:rsid w:val="00936248"/>
    <w:rsid w:val="00937006"/>
    <w:rsid w:val="009401A1"/>
    <w:rsid w:val="00940502"/>
    <w:rsid w:val="00941AA8"/>
    <w:rsid w:val="00942186"/>
    <w:rsid w:val="00943348"/>
    <w:rsid w:val="00943A89"/>
    <w:rsid w:val="009455BB"/>
    <w:rsid w:val="00945947"/>
    <w:rsid w:val="0094799F"/>
    <w:rsid w:val="00947C2B"/>
    <w:rsid w:val="0095048A"/>
    <w:rsid w:val="0095073E"/>
    <w:rsid w:val="009508E7"/>
    <w:rsid w:val="00950B7E"/>
    <w:rsid w:val="009519CD"/>
    <w:rsid w:val="00952902"/>
    <w:rsid w:val="00952BD8"/>
    <w:rsid w:val="009533C7"/>
    <w:rsid w:val="00953EC5"/>
    <w:rsid w:val="009540F7"/>
    <w:rsid w:val="00954BD3"/>
    <w:rsid w:val="00955163"/>
    <w:rsid w:val="00955588"/>
    <w:rsid w:val="009555D4"/>
    <w:rsid w:val="00956743"/>
    <w:rsid w:val="00956BD1"/>
    <w:rsid w:val="00956D42"/>
    <w:rsid w:val="0095701D"/>
    <w:rsid w:val="00957677"/>
    <w:rsid w:val="00960D4C"/>
    <w:rsid w:val="00960E22"/>
    <w:rsid w:val="00961CA6"/>
    <w:rsid w:val="0096224D"/>
    <w:rsid w:val="009629B2"/>
    <w:rsid w:val="0096313F"/>
    <w:rsid w:val="00965A82"/>
    <w:rsid w:val="00965D02"/>
    <w:rsid w:val="009665BF"/>
    <w:rsid w:val="00967C9C"/>
    <w:rsid w:val="00970435"/>
    <w:rsid w:val="00971F40"/>
    <w:rsid w:val="009723B7"/>
    <w:rsid w:val="00972E14"/>
    <w:rsid w:val="00973226"/>
    <w:rsid w:val="009741A2"/>
    <w:rsid w:val="00974C2D"/>
    <w:rsid w:val="00975420"/>
    <w:rsid w:val="009759F1"/>
    <w:rsid w:val="00975FEB"/>
    <w:rsid w:val="0097795D"/>
    <w:rsid w:val="009779F9"/>
    <w:rsid w:val="00977C52"/>
    <w:rsid w:val="0098012F"/>
    <w:rsid w:val="00980EE5"/>
    <w:rsid w:val="0098347A"/>
    <w:rsid w:val="009837B3"/>
    <w:rsid w:val="00985371"/>
    <w:rsid w:val="0098589E"/>
    <w:rsid w:val="00987B04"/>
    <w:rsid w:val="00987C4D"/>
    <w:rsid w:val="00994675"/>
    <w:rsid w:val="00994AE5"/>
    <w:rsid w:val="00995990"/>
    <w:rsid w:val="0099774A"/>
    <w:rsid w:val="00997E8B"/>
    <w:rsid w:val="009A2554"/>
    <w:rsid w:val="009A27EF"/>
    <w:rsid w:val="009A2FC6"/>
    <w:rsid w:val="009A306A"/>
    <w:rsid w:val="009A41FB"/>
    <w:rsid w:val="009A5B35"/>
    <w:rsid w:val="009A5E2F"/>
    <w:rsid w:val="009A609D"/>
    <w:rsid w:val="009A6A78"/>
    <w:rsid w:val="009B044B"/>
    <w:rsid w:val="009B0C35"/>
    <w:rsid w:val="009B0C58"/>
    <w:rsid w:val="009B0DC1"/>
    <w:rsid w:val="009B0E52"/>
    <w:rsid w:val="009B15E7"/>
    <w:rsid w:val="009B1B84"/>
    <w:rsid w:val="009B22E8"/>
    <w:rsid w:val="009B4F22"/>
    <w:rsid w:val="009B5AEF"/>
    <w:rsid w:val="009B5E09"/>
    <w:rsid w:val="009B6990"/>
    <w:rsid w:val="009B7633"/>
    <w:rsid w:val="009B7EB0"/>
    <w:rsid w:val="009C0B66"/>
    <w:rsid w:val="009C1480"/>
    <w:rsid w:val="009C215E"/>
    <w:rsid w:val="009C2F37"/>
    <w:rsid w:val="009C57C3"/>
    <w:rsid w:val="009C5D48"/>
    <w:rsid w:val="009C75A7"/>
    <w:rsid w:val="009C77FD"/>
    <w:rsid w:val="009C7819"/>
    <w:rsid w:val="009D05DF"/>
    <w:rsid w:val="009D0AA7"/>
    <w:rsid w:val="009D0B81"/>
    <w:rsid w:val="009D0F39"/>
    <w:rsid w:val="009D138A"/>
    <w:rsid w:val="009D2DF6"/>
    <w:rsid w:val="009D3B37"/>
    <w:rsid w:val="009D3EE4"/>
    <w:rsid w:val="009D4A5D"/>
    <w:rsid w:val="009D4B28"/>
    <w:rsid w:val="009D512D"/>
    <w:rsid w:val="009D65D5"/>
    <w:rsid w:val="009D77DF"/>
    <w:rsid w:val="009E026D"/>
    <w:rsid w:val="009E1623"/>
    <w:rsid w:val="009E193B"/>
    <w:rsid w:val="009E1C8D"/>
    <w:rsid w:val="009E2C94"/>
    <w:rsid w:val="009E45CB"/>
    <w:rsid w:val="009E4CF1"/>
    <w:rsid w:val="009E4D58"/>
    <w:rsid w:val="009E5B8B"/>
    <w:rsid w:val="009E6638"/>
    <w:rsid w:val="009E6B2A"/>
    <w:rsid w:val="009F007C"/>
    <w:rsid w:val="009F042A"/>
    <w:rsid w:val="009F1118"/>
    <w:rsid w:val="009F2624"/>
    <w:rsid w:val="009F3B9F"/>
    <w:rsid w:val="009F42BF"/>
    <w:rsid w:val="009F57E3"/>
    <w:rsid w:val="009F5A65"/>
    <w:rsid w:val="00A009D4"/>
    <w:rsid w:val="00A00D85"/>
    <w:rsid w:val="00A0160E"/>
    <w:rsid w:val="00A03010"/>
    <w:rsid w:val="00A03262"/>
    <w:rsid w:val="00A03DBB"/>
    <w:rsid w:val="00A0401C"/>
    <w:rsid w:val="00A04145"/>
    <w:rsid w:val="00A048D1"/>
    <w:rsid w:val="00A04E18"/>
    <w:rsid w:val="00A06472"/>
    <w:rsid w:val="00A06631"/>
    <w:rsid w:val="00A10388"/>
    <w:rsid w:val="00A12403"/>
    <w:rsid w:val="00A1374A"/>
    <w:rsid w:val="00A13912"/>
    <w:rsid w:val="00A13F92"/>
    <w:rsid w:val="00A156F6"/>
    <w:rsid w:val="00A16007"/>
    <w:rsid w:val="00A17530"/>
    <w:rsid w:val="00A17945"/>
    <w:rsid w:val="00A17A97"/>
    <w:rsid w:val="00A21207"/>
    <w:rsid w:val="00A21CBB"/>
    <w:rsid w:val="00A2251E"/>
    <w:rsid w:val="00A2368E"/>
    <w:rsid w:val="00A23A97"/>
    <w:rsid w:val="00A23B41"/>
    <w:rsid w:val="00A244DA"/>
    <w:rsid w:val="00A257CB"/>
    <w:rsid w:val="00A25964"/>
    <w:rsid w:val="00A30DD9"/>
    <w:rsid w:val="00A3136F"/>
    <w:rsid w:val="00A32004"/>
    <w:rsid w:val="00A3226C"/>
    <w:rsid w:val="00A32E0F"/>
    <w:rsid w:val="00A342DB"/>
    <w:rsid w:val="00A345AB"/>
    <w:rsid w:val="00A3579E"/>
    <w:rsid w:val="00A35CD5"/>
    <w:rsid w:val="00A36F14"/>
    <w:rsid w:val="00A36FE2"/>
    <w:rsid w:val="00A370C2"/>
    <w:rsid w:val="00A374CE"/>
    <w:rsid w:val="00A37F11"/>
    <w:rsid w:val="00A40185"/>
    <w:rsid w:val="00A40A35"/>
    <w:rsid w:val="00A41990"/>
    <w:rsid w:val="00A4225C"/>
    <w:rsid w:val="00A42378"/>
    <w:rsid w:val="00A43689"/>
    <w:rsid w:val="00A454A8"/>
    <w:rsid w:val="00A456E0"/>
    <w:rsid w:val="00A459E8"/>
    <w:rsid w:val="00A463E3"/>
    <w:rsid w:val="00A47412"/>
    <w:rsid w:val="00A4775C"/>
    <w:rsid w:val="00A47E49"/>
    <w:rsid w:val="00A52888"/>
    <w:rsid w:val="00A52CCA"/>
    <w:rsid w:val="00A53C8E"/>
    <w:rsid w:val="00A543E9"/>
    <w:rsid w:val="00A54878"/>
    <w:rsid w:val="00A562D1"/>
    <w:rsid w:val="00A57290"/>
    <w:rsid w:val="00A576FF"/>
    <w:rsid w:val="00A60C79"/>
    <w:rsid w:val="00A61647"/>
    <w:rsid w:val="00A6685B"/>
    <w:rsid w:val="00A6726A"/>
    <w:rsid w:val="00A718D1"/>
    <w:rsid w:val="00A72F86"/>
    <w:rsid w:val="00A73494"/>
    <w:rsid w:val="00A74311"/>
    <w:rsid w:val="00A756B3"/>
    <w:rsid w:val="00A76BF8"/>
    <w:rsid w:val="00A77254"/>
    <w:rsid w:val="00A77A61"/>
    <w:rsid w:val="00A8137F"/>
    <w:rsid w:val="00A8171B"/>
    <w:rsid w:val="00A81966"/>
    <w:rsid w:val="00A819DC"/>
    <w:rsid w:val="00A8329E"/>
    <w:rsid w:val="00A8406E"/>
    <w:rsid w:val="00A84102"/>
    <w:rsid w:val="00A84B62"/>
    <w:rsid w:val="00A84E65"/>
    <w:rsid w:val="00A84EC3"/>
    <w:rsid w:val="00A85347"/>
    <w:rsid w:val="00A858C2"/>
    <w:rsid w:val="00A86724"/>
    <w:rsid w:val="00A87859"/>
    <w:rsid w:val="00A905BC"/>
    <w:rsid w:val="00A9075C"/>
    <w:rsid w:val="00A94336"/>
    <w:rsid w:val="00A94546"/>
    <w:rsid w:val="00A9477D"/>
    <w:rsid w:val="00A959B2"/>
    <w:rsid w:val="00A96556"/>
    <w:rsid w:val="00A96CCF"/>
    <w:rsid w:val="00A96D16"/>
    <w:rsid w:val="00AA1DD1"/>
    <w:rsid w:val="00AA257F"/>
    <w:rsid w:val="00AA3A38"/>
    <w:rsid w:val="00AA494C"/>
    <w:rsid w:val="00AA576D"/>
    <w:rsid w:val="00AA5A09"/>
    <w:rsid w:val="00AA5D04"/>
    <w:rsid w:val="00AB0EB3"/>
    <w:rsid w:val="00AB24D7"/>
    <w:rsid w:val="00AB40AE"/>
    <w:rsid w:val="00AB523E"/>
    <w:rsid w:val="00AB5378"/>
    <w:rsid w:val="00AB5443"/>
    <w:rsid w:val="00AB734A"/>
    <w:rsid w:val="00AC05F2"/>
    <w:rsid w:val="00AC20D4"/>
    <w:rsid w:val="00AC23AB"/>
    <w:rsid w:val="00AC39AE"/>
    <w:rsid w:val="00AC4F17"/>
    <w:rsid w:val="00AC59E8"/>
    <w:rsid w:val="00AC6BEC"/>
    <w:rsid w:val="00AD17CB"/>
    <w:rsid w:val="00AD48E4"/>
    <w:rsid w:val="00AD497D"/>
    <w:rsid w:val="00AD64D8"/>
    <w:rsid w:val="00AD68EA"/>
    <w:rsid w:val="00AD6E92"/>
    <w:rsid w:val="00AD72E3"/>
    <w:rsid w:val="00AD7AEE"/>
    <w:rsid w:val="00AE0352"/>
    <w:rsid w:val="00AE05A0"/>
    <w:rsid w:val="00AE1360"/>
    <w:rsid w:val="00AE15A1"/>
    <w:rsid w:val="00AE1628"/>
    <w:rsid w:val="00AE2205"/>
    <w:rsid w:val="00AE4B8B"/>
    <w:rsid w:val="00AE4F30"/>
    <w:rsid w:val="00AE5586"/>
    <w:rsid w:val="00AE6517"/>
    <w:rsid w:val="00AF0483"/>
    <w:rsid w:val="00AF1E0E"/>
    <w:rsid w:val="00AF1F6B"/>
    <w:rsid w:val="00AF20DB"/>
    <w:rsid w:val="00AF2CC1"/>
    <w:rsid w:val="00AF4719"/>
    <w:rsid w:val="00AF5530"/>
    <w:rsid w:val="00AF6B2D"/>
    <w:rsid w:val="00AF7A58"/>
    <w:rsid w:val="00AF7A92"/>
    <w:rsid w:val="00B00E54"/>
    <w:rsid w:val="00B01B57"/>
    <w:rsid w:val="00B0295A"/>
    <w:rsid w:val="00B0431E"/>
    <w:rsid w:val="00B043B4"/>
    <w:rsid w:val="00B0473D"/>
    <w:rsid w:val="00B04B1B"/>
    <w:rsid w:val="00B05880"/>
    <w:rsid w:val="00B0722E"/>
    <w:rsid w:val="00B10094"/>
    <w:rsid w:val="00B129BD"/>
    <w:rsid w:val="00B1385B"/>
    <w:rsid w:val="00B13E69"/>
    <w:rsid w:val="00B148F6"/>
    <w:rsid w:val="00B176C2"/>
    <w:rsid w:val="00B20212"/>
    <w:rsid w:val="00B20CCC"/>
    <w:rsid w:val="00B21455"/>
    <w:rsid w:val="00B21995"/>
    <w:rsid w:val="00B21F1E"/>
    <w:rsid w:val="00B2291D"/>
    <w:rsid w:val="00B22973"/>
    <w:rsid w:val="00B22C9E"/>
    <w:rsid w:val="00B22EF1"/>
    <w:rsid w:val="00B23D7D"/>
    <w:rsid w:val="00B2439E"/>
    <w:rsid w:val="00B2475B"/>
    <w:rsid w:val="00B2570A"/>
    <w:rsid w:val="00B26143"/>
    <w:rsid w:val="00B271BF"/>
    <w:rsid w:val="00B278EF"/>
    <w:rsid w:val="00B303E3"/>
    <w:rsid w:val="00B30AF8"/>
    <w:rsid w:val="00B30C28"/>
    <w:rsid w:val="00B30CBB"/>
    <w:rsid w:val="00B30D2B"/>
    <w:rsid w:val="00B317A7"/>
    <w:rsid w:val="00B323BB"/>
    <w:rsid w:val="00B3255F"/>
    <w:rsid w:val="00B33DA3"/>
    <w:rsid w:val="00B33FA6"/>
    <w:rsid w:val="00B34E00"/>
    <w:rsid w:val="00B350C4"/>
    <w:rsid w:val="00B353A4"/>
    <w:rsid w:val="00B36407"/>
    <w:rsid w:val="00B36C56"/>
    <w:rsid w:val="00B4161A"/>
    <w:rsid w:val="00B41795"/>
    <w:rsid w:val="00B418BC"/>
    <w:rsid w:val="00B424CE"/>
    <w:rsid w:val="00B426F7"/>
    <w:rsid w:val="00B4322E"/>
    <w:rsid w:val="00B43835"/>
    <w:rsid w:val="00B43FCC"/>
    <w:rsid w:val="00B44AFE"/>
    <w:rsid w:val="00B45F4F"/>
    <w:rsid w:val="00B460B3"/>
    <w:rsid w:val="00B47820"/>
    <w:rsid w:val="00B47EB8"/>
    <w:rsid w:val="00B51A50"/>
    <w:rsid w:val="00B51B0F"/>
    <w:rsid w:val="00B52514"/>
    <w:rsid w:val="00B53B98"/>
    <w:rsid w:val="00B53FE2"/>
    <w:rsid w:val="00B54DA8"/>
    <w:rsid w:val="00B55D3B"/>
    <w:rsid w:val="00B57130"/>
    <w:rsid w:val="00B57B8B"/>
    <w:rsid w:val="00B62DD8"/>
    <w:rsid w:val="00B633BB"/>
    <w:rsid w:val="00B63A8C"/>
    <w:rsid w:val="00B6488A"/>
    <w:rsid w:val="00B65B2B"/>
    <w:rsid w:val="00B65D9A"/>
    <w:rsid w:val="00B66AA8"/>
    <w:rsid w:val="00B66E51"/>
    <w:rsid w:val="00B66EA0"/>
    <w:rsid w:val="00B67B46"/>
    <w:rsid w:val="00B70ADB"/>
    <w:rsid w:val="00B72411"/>
    <w:rsid w:val="00B72454"/>
    <w:rsid w:val="00B73AF6"/>
    <w:rsid w:val="00B75449"/>
    <w:rsid w:val="00B76503"/>
    <w:rsid w:val="00B766A1"/>
    <w:rsid w:val="00B77299"/>
    <w:rsid w:val="00B77AB5"/>
    <w:rsid w:val="00B8226E"/>
    <w:rsid w:val="00B82525"/>
    <w:rsid w:val="00B82946"/>
    <w:rsid w:val="00B85CF1"/>
    <w:rsid w:val="00B85DD0"/>
    <w:rsid w:val="00B87705"/>
    <w:rsid w:val="00B90C18"/>
    <w:rsid w:val="00B9122E"/>
    <w:rsid w:val="00B919FF"/>
    <w:rsid w:val="00B92609"/>
    <w:rsid w:val="00B94B39"/>
    <w:rsid w:val="00B94EBE"/>
    <w:rsid w:val="00B95BCD"/>
    <w:rsid w:val="00B95E0F"/>
    <w:rsid w:val="00B974F6"/>
    <w:rsid w:val="00B979B4"/>
    <w:rsid w:val="00B97B30"/>
    <w:rsid w:val="00BA0EF4"/>
    <w:rsid w:val="00BA12F1"/>
    <w:rsid w:val="00BA19BD"/>
    <w:rsid w:val="00BA1E27"/>
    <w:rsid w:val="00BA38F0"/>
    <w:rsid w:val="00BA3CE6"/>
    <w:rsid w:val="00BA442D"/>
    <w:rsid w:val="00BA4AC0"/>
    <w:rsid w:val="00BA5910"/>
    <w:rsid w:val="00BA780E"/>
    <w:rsid w:val="00BA7E3E"/>
    <w:rsid w:val="00BB103E"/>
    <w:rsid w:val="00BB14A2"/>
    <w:rsid w:val="00BB2394"/>
    <w:rsid w:val="00BB34BC"/>
    <w:rsid w:val="00BB42A2"/>
    <w:rsid w:val="00BB5232"/>
    <w:rsid w:val="00BB55A9"/>
    <w:rsid w:val="00BB6028"/>
    <w:rsid w:val="00BB6DE2"/>
    <w:rsid w:val="00BB6FCC"/>
    <w:rsid w:val="00BC034C"/>
    <w:rsid w:val="00BC33B4"/>
    <w:rsid w:val="00BC4065"/>
    <w:rsid w:val="00BC5336"/>
    <w:rsid w:val="00BC53AD"/>
    <w:rsid w:val="00BC6234"/>
    <w:rsid w:val="00BC726B"/>
    <w:rsid w:val="00BD015E"/>
    <w:rsid w:val="00BD0D02"/>
    <w:rsid w:val="00BD17CC"/>
    <w:rsid w:val="00BD1815"/>
    <w:rsid w:val="00BD1EA9"/>
    <w:rsid w:val="00BD1F23"/>
    <w:rsid w:val="00BD23AE"/>
    <w:rsid w:val="00BD2BF0"/>
    <w:rsid w:val="00BD39D2"/>
    <w:rsid w:val="00BD3DA2"/>
    <w:rsid w:val="00BD4A46"/>
    <w:rsid w:val="00BD4E09"/>
    <w:rsid w:val="00BD4F79"/>
    <w:rsid w:val="00BD5797"/>
    <w:rsid w:val="00BD5984"/>
    <w:rsid w:val="00BD5A33"/>
    <w:rsid w:val="00BD5E1C"/>
    <w:rsid w:val="00BD7D49"/>
    <w:rsid w:val="00BE0A00"/>
    <w:rsid w:val="00BE2DE9"/>
    <w:rsid w:val="00BE3021"/>
    <w:rsid w:val="00BE38E1"/>
    <w:rsid w:val="00BE3A7F"/>
    <w:rsid w:val="00BE4A35"/>
    <w:rsid w:val="00BE51DB"/>
    <w:rsid w:val="00BE5AC6"/>
    <w:rsid w:val="00BE6DA8"/>
    <w:rsid w:val="00BE6F45"/>
    <w:rsid w:val="00BE799D"/>
    <w:rsid w:val="00BF007C"/>
    <w:rsid w:val="00BF0D91"/>
    <w:rsid w:val="00BF0DFE"/>
    <w:rsid w:val="00BF1A64"/>
    <w:rsid w:val="00BF292F"/>
    <w:rsid w:val="00BF4E8E"/>
    <w:rsid w:val="00BF501A"/>
    <w:rsid w:val="00BF55FF"/>
    <w:rsid w:val="00BF5A5A"/>
    <w:rsid w:val="00BF5C9F"/>
    <w:rsid w:val="00BF663F"/>
    <w:rsid w:val="00BF7530"/>
    <w:rsid w:val="00C01800"/>
    <w:rsid w:val="00C02C50"/>
    <w:rsid w:val="00C02D63"/>
    <w:rsid w:val="00C02E6B"/>
    <w:rsid w:val="00C05F0D"/>
    <w:rsid w:val="00C074D5"/>
    <w:rsid w:val="00C079B9"/>
    <w:rsid w:val="00C107A0"/>
    <w:rsid w:val="00C12153"/>
    <w:rsid w:val="00C13A08"/>
    <w:rsid w:val="00C13B23"/>
    <w:rsid w:val="00C13C50"/>
    <w:rsid w:val="00C147C3"/>
    <w:rsid w:val="00C1481E"/>
    <w:rsid w:val="00C14B8F"/>
    <w:rsid w:val="00C17BB8"/>
    <w:rsid w:val="00C24829"/>
    <w:rsid w:val="00C26C92"/>
    <w:rsid w:val="00C26E01"/>
    <w:rsid w:val="00C2799C"/>
    <w:rsid w:val="00C30629"/>
    <w:rsid w:val="00C349E7"/>
    <w:rsid w:val="00C34C83"/>
    <w:rsid w:val="00C34F4B"/>
    <w:rsid w:val="00C350BB"/>
    <w:rsid w:val="00C350C3"/>
    <w:rsid w:val="00C35104"/>
    <w:rsid w:val="00C36210"/>
    <w:rsid w:val="00C42162"/>
    <w:rsid w:val="00C43007"/>
    <w:rsid w:val="00C432A5"/>
    <w:rsid w:val="00C45DB1"/>
    <w:rsid w:val="00C46B6C"/>
    <w:rsid w:val="00C4745C"/>
    <w:rsid w:val="00C506DF"/>
    <w:rsid w:val="00C52471"/>
    <w:rsid w:val="00C53EFF"/>
    <w:rsid w:val="00C54CE4"/>
    <w:rsid w:val="00C54F6F"/>
    <w:rsid w:val="00C571BD"/>
    <w:rsid w:val="00C578B8"/>
    <w:rsid w:val="00C605C4"/>
    <w:rsid w:val="00C6078D"/>
    <w:rsid w:val="00C6119D"/>
    <w:rsid w:val="00C62544"/>
    <w:rsid w:val="00C62A0F"/>
    <w:rsid w:val="00C63346"/>
    <w:rsid w:val="00C63387"/>
    <w:rsid w:val="00C65212"/>
    <w:rsid w:val="00C66934"/>
    <w:rsid w:val="00C67686"/>
    <w:rsid w:val="00C67AC6"/>
    <w:rsid w:val="00C67F42"/>
    <w:rsid w:val="00C704BC"/>
    <w:rsid w:val="00C717FF"/>
    <w:rsid w:val="00C71823"/>
    <w:rsid w:val="00C72171"/>
    <w:rsid w:val="00C7253A"/>
    <w:rsid w:val="00C72584"/>
    <w:rsid w:val="00C726FF"/>
    <w:rsid w:val="00C732A0"/>
    <w:rsid w:val="00C73811"/>
    <w:rsid w:val="00C738B7"/>
    <w:rsid w:val="00C73BBE"/>
    <w:rsid w:val="00C74917"/>
    <w:rsid w:val="00C75601"/>
    <w:rsid w:val="00C75B3A"/>
    <w:rsid w:val="00C75CB8"/>
    <w:rsid w:val="00C80410"/>
    <w:rsid w:val="00C81F1E"/>
    <w:rsid w:val="00C821FC"/>
    <w:rsid w:val="00C83BB0"/>
    <w:rsid w:val="00C852C0"/>
    <w:rsid w:val="00C866E1"/>
    <w:rsid w:val="00C866E7"/>
    <w:rsid w:val="00C86B33"/>
    <w:rsid w:val="00C872D3"/>
    <w:rsid w:val="00C877A0"/>
    <w:rsid w:val="00C87D05"/>
    <w:rsid w:val="00C90210"/>
    <w:rsid w:val="00C90C22"/>
    <w:rsid w:val="00C9278C"/>
    <w:rsid w:val="00C93029"/>
    <w:rsid w:val="00C93129"/>
    <w:rsid w:val="00C93C25"/>
    <w:rsid w:val="00C93D8E"/>
    <w:rsid w:val="00C943B3"/>
    <w:rsid w:val="00C94558"/>
    <w:rsid w:val="00C94615"/>
    <w:rsid w:val="00C96355"/>
    <w:rsid w:val="00C964DA"/>
    <w:rsid w:val="00C9689C"/>
    <w:rsid w:val="00C96BDA"/>
    <w:rsid w:val="00C96C31"/>
    <w:rsid w:val="00CA044A"/>
    <w:rsid w:val="00CA04C8"/>
    <w:rsid w:val="00CA2504"/>
    <w:rsid w:val="00CA338A"/>
    <w:rsid w:val="00CA493F"/>
    <w:rsid w:val="00CA4A13"/>
    <w:rsid w:val="00CA4E37"/>
    <w:rsid w:val="00CA66F4"/>
    <w:rsid w:val="00CB014B"/>
    <w:rsid w:val="00CB021E"/>
    <w:rsid w:val="00CB113A"/>
    <w:rsid w:val="00CB46E6"/>
    <w:rsid w:val="00CB4736"/>
    <w:rsid w:val="00CB71D4"/>
    <w:rsid w:val="00CC0C00"/>
    <w:rsid w:val="00CC0C0B"/>
    <w:rsid w:val="00CC12AC"/>
    <w:rsid w:val="00CC1C4F"/>
    <w:rsid w:val="00CC3189"/>
    <w:rsid w:val="00CC38E3"/>
    <w:rsid w:val="00CC4C44"/>
    <w:rsid w:val="00CC6253"/>
    <w:rsid w:val="00CC6C6E"/>
    <w:rsid w:val="00CC6D79"/>
    <w:rsid w:val="00CC6E8F"/>
    <w:rsid w:val="00CD164F"/>
    <w:rsid w:val="00CD1ADD"/>
    <w:rsid w:val="00CD2EC5"/>
    <w:rsid w:val="00CD391E"/>
    <w:rsid w:val="00CD4F33"/>
    <w:rsid w:val="00CD510E"/>
    <w:rsid w:val="00CD512A"/>
    <w:rsid w:val="00CD5709"/>
    <w:rsid w:val="00CD5DCD"/>
    <w:rsid w:val="00CD6451"/>
    <w:rsid w:val="00CD78DB"/>
    <w:rsid w:val="00CD7C5A"/>
    <w:rsid w:val="00CE1FEC"/>
    <w:rsid w:val="00CE2A68"/>
    <w:rsid w:val="00CE4757"/>
    <w:rsid w:val="00CE4D0D"/>
    <w:rsid w:val="00CE57B9"/>
    <w:rsid w:val="00CE734E"/>
    <w:rsid w:val="00CE769A"/>
    <w:rsid w:val="00CE7E35"/>
    <w:rsid w:val="00CF0089"/>
    <w:rsid w:val="00CF1272"/>
    <w:rsid w:val="00CF2497"/>
    <w:rsid w:val="00CF5A16"/>
    <w:rsid w:val="00CF7093"/>
    <w:rsid w:val="00CF7E47"/>
    <w:rsid w:val="00D01585"/>
    <w:rsid w:val="00D02D04"/>
    <w:rsid w:val="00D03A25"/>
    <w:rsid w:val="00D05552"/>
    <w:rsid w:val="00D057F7"/>
    <w:rsid w:val="00D07CE5"/>
    <w:rsid w:val="00D07D35"/>
    <w:rsid w:val="00D11C32"/>
    <w:rsid w:val="00D11CF4"/>
    <w:rsid w:val="00D12B27"/>
    <w:rsid w:val="00D12C99"/>
    <w:rsid w:val="00D14339"/>
    <w:rsid w:val="00D1684F"/>
    <w:rsid w:val="00D17118"/>
    <w:rsid w:val="00D208B4"/>
    <w:rsid w:val="00D215AF"/>
    <w:rsid w:val="00D238B5"/>
    <w:rsid w:val="00D26E63"/>
    <w:rsid w:val="00D27217"/>
    <w:rsid w:val="00D2740E"/>
    <w:rsid w:val="00D302CF"/>
    <w:rsid w:val="00D30F82"/>
    <w:rsid w:val="00D33B70"/>
    <w:rsid w:val="00D33D78"/>
    <w:rsid w:val="00D356E2"/>
    <w:rsid w:val="00D36DC2"/>
    <w:rsid w:val="00D36E4A"/>
    <w:rsid w:val="00D37896"/>
    <w:rsid w:val="00D40BC6"/>
    <w:rsid w:val="00D41A8C"/>
    <w:rsid w:val="00D41B4D"/>
    <w:rsid w:val="00D421B0"/>
    <w:rsid w:val="00D44A5E"/>
    <w:rsid w:val="00D44C46"/>
    <w:rsid w:val="00D505B4"/>
    <w:rsid w:val="00D506D3"/>
    <w:rsid w:val="00D524EE"/>
    <w:rsid w:val="00D5321D"/>
    <w:rsid w:val="00D53E0D"/>
    <w:rsid w:val="00D5453A"/>
    <w:rsid w:val="00D54890"/>
    <w:rsid w:val="00D55DD5"/>
    <w:rsid w:val="00D562EC"/>
    <w:rsid w:val="00D56ED8"/>
    <w:rsid w:val="00D57919"/>
    <w:rsid w:val="00D61BDB"/>
    <w:rsid w:val="00D63193"/>
    <w:rsid w:val="00D63A37"/>
    <w:rsid w:val="00D63AD2"/>
    <w:rsid w:val="00D6527D"/>
    <w:rsid w:val="00D66647"/>
    <w:rsid w:val="00D67912"/>
    <w:rsid w:val="00D70A8B"/>
    <w:rsid w:val="00D71C8D"/>
    <w:rsid w:val="00D71D72"/>
    <w:rsid w:val="00D72B09"/>
    <w:rsid w:val="00D72C39"/>
    <w:rsid w:val="00D732BD"/>
    <w:rsid w:val="00D7449E"/>
    <w:rsid w:val="00D74B4C"/>
    <w:rsid w:val="00D74C0E"/>
    <w:rsid w:val="00D75DD9"/>
    <w:rsid w:val="00D76048"/>
    <w:rsid w:val="00D767DB"/>
    <w:rsid w:val="00D76CD3"/>
    <w:rsid w:val="00D77208"/>
    <w:rsid w:val="00D804B3"/>
    <w:rsid w:val="00D83735"/>
    <w:rsid w:val="00D83F39"/>
    <w:rsid w:val="00D8452E"/>
    <w:rsid w:val="00D86849"/>
    <w:rsid w:val="00D86B8D"/>
    <w:rsid w:val="00D873C4"/>
    <w:rsid w:val="00D875B5"/>
    <w:rsid w:val="00D87E21"/>
    <w:rsid w:val="00D90042"/>
    <w:rsid w:val="00D906B5"/>
    <w:rsid w:val="00D907C5"/>
    <w:rsid w:val="00D922DC"/>
    <w:rsid w:val="00D92BDD"/>
    <w:rsid w:val="00D931A7"/>
    <w:rsid w:val="00D93D40"/>
    <w:rsid w:val="00D948FD"/>
    <w:rsid w:val="00D95008"/>
    <w:rsid w:val="00D95268"/>
    <w:rsid w:val="00D95B2C"/>
    <w:rsid w:val="00D970F9"/>
    <w:rsid w:val="00D97954"/>
    <w:rsid w:val="00DA04C7"/>
    <w:rsid w:val="00DA0C40"/>
    <w:rsid w:val="00DA2225"/>
    <w:rsid w:val="00DA2D70"/>
    <w:rsid w:val="00DA309E"/>
    <w:rsid w:val="00DA391E"/>
    <w:rsid w:val="00DA4DF5"/>
    <w:rsid w:val="00DA52F1"/>
    <w:rsid w:val="00DA5B3F"/>
    <w:rsid w:val="00DA7ABD"/>
    <w:rsid w:val="00DB0029"/>
    <w:rsid w:val="00DB1115"/>
    <w:rsid w:val="00DB4360"/>
    <w:rsid w:val="00DB5789"/>
    <w:rsid w:val="00DB5C62"/>
    <w:rsid w:val="00DB662C"/>
    <w:rsid w:val="00DC1BA8"/>
    <w:rsid w:val="00DC1CAB"/>
    <w:rsid w:val="00DC211C"/>
    <w:rsid w:val="00DC254F"/>
    <w:rsid w:val="00DC2877"/>
    <w:rsid w:val="00DC314A"/>
    <w:rsid w:val="00DC3F6E"/>
    <w:rsid w:val="00DC4123"/>
    <w:rsid w:val="00DC4478"/>
    <w:rsid w:val="00DC45F9"/>
    <w:rsid w:val="00DC4F1C"/>
    <w:rsid w:val="00DC58AC"/>
    <w:rsid w:val="00DC59A0"/>
    <w:rsid w:val="00DC6EF7"/>
    <w:rsid w:val="00DD1CC1"/>
    <w:rsid w:val="00DD29B8"/>
    <w:rsid w:val="00DD5ADD"/>
    <w:rsid w:val="00DE1B95"/>
    <w:rsid w:val="00DE4EFE"/>
    <w:rsid w:val="00DE6ACC"/>
    <w:rsid w:val="00DE7CE2"/>
    <w:rsid w:val="00DF124B"/>
    <w:rsid w:val="00DF1389"/>
    <w:rsid w:val="00DF1E1E"/>
    <w:rsid w:val="00DF47F5"/>
    <w:rsid w:val="00DF48FB"/>
    <w:rsid w:val="00DF4B29"/>
    <w:rsid w:val="00DF4CE3"/>
    <w:rsid w:val="00DF513A"/>
    <w:rsid w:val="00DF5B54"/>
    <w:rsid w:val="00DF5D98"/>
    <w:rsid w:val="00DF631F"/>
    <w:rsid w:val="00DF70C9"/>
    <w:rsid w:val="00E001F5"/>
    <w:rsid w:val="00E00578"/>
    <w:rsid w:val="00E00A4C"/>
    <w:rsid w:val="00E0139C"/>
    <w:rsid w:val="00E013B8"/>
    <w:rsid w:val="00E015DF"/>
    <w:rsid w:val="00E01D8A"/>
    <w:rsid w:val="00E034D7"/>
    <w:rsid w:val="00E04AA1"/>
    <w:rsid w:val="00E04BAA"/>
    <w:rsid w:val="00E04C8A"/>
    <w:rsid w:val="00E05321"/>
    <w:rsid w:val="00E058FD"/>
    <w:rsid w:val="00E060EE"/>
    <w:rsid w:val="00E06203"/>
    <w:rsid w:val="00E069F3"/>
    <w:rsid w:val="00E105F4"/>
    <w:rsid w:val="00E116B5"/>
    <w:rsid w:val="00E11D16"/>
    <w:rsid w:val="00E128B1"/>
    <w:rsid w:val="00E131D5"/>
    <w:rsid w:val="00E14148"/>
    <w:rsid w:val="00E159DA"/>
    <w:rsid w:val="00E15C4D"/>
    <w:rsid w:val="00E160FC"/>
    <w:rsid w:val="00E17BDA"/>
    <w:rsid w:val="00E2011A"/>
    <w:rsid w:val="00E219E6"/>
    <w:rsid w:val="00E21A95"/>
    <w:rsid w:val="00E21CD4"/>
    <w:rsid w:val="00E21CDB"/>
    <w:rsid w:val="00E21F40"/>
    <w:rsid w:val="00E22309"/>
    <w:rsid w:val="00E22D2D"/>
    <w:rsid w:val="00E26BC4"/>
    <w:rsid w:val="00E30A7B"/>
    <w:rsid w:val="00E32939"/>
    <w:rsid w:val="00E33C34"/>
    <w:rsid w:val="00E366BF"/>
    <w:rsid w:val="00E3676F"/>
    <w:rsid w:val="00E37AC6"/>
    <w:rsid w:val="00E40038"/>
    <w:rsid w:val="00E420CF"/>
    <w:rsid w:val="00E425FC"/>
    <w:rsid w:val="00E432B2"/>
    <w:rsid w:val="00E435C5"/>
    <w:rsid w:val="00E4366D"/>
    <w:rsid w:val="00E43852"/>
    <w:rsid w:val="00E4411A"/>
    <w:rsid w:val="00E44D08"/>
    <w:rsid w:val="00E45231"/>
    <w:rsid w:val="00E45701"/>
    <w:rsid w:val="00E45E3F"/>
    <w:rsid w:val="00E463F4"/>
    <w:rsid w:val="00E46CD7"/>
    <w:rsid w:val="00E4793F"/>
    <w:rsid w:val="00E479F5"/>
    <w:rsid w:val="00E500A1"/>
    <w:rsid w:val="00E52D03"/>
    <w:rsid w:val="00E535BC"/>
    <w:rsid w:val="00E54998"/>
    <w:rsid w:val="00E55C52"/>
    <w:rsid w:val="00E57B94"/>
    <w:rsid w:val="00E57CD3"/>
    <w:rsid w:val="00E6013C"/>
    <w:rsid w:val="00E615C8"/>
    <w:rsid w:val="00E61600"/>
    <w:rsid w:val="00E61991"/>
    <w:rsid w:val="00E62438"/>
    <w:rsid w:val="00E62801"/>
    <w:rsid w:val="00E63A2E"/>
    <w:rsid w:val="00E63C71"/>
    <w:rsid w:val="00E63D2C"/>
    <w:rsid w:val="00E63EEB"/>
    <w:rsid w:val="00E64AE6"/>
    <w:rsid w:val="00E654D5"/>
    <w:rsid w:val="00E67EE8"/>
    <w:rsid w:val="00E7017F"/>
    <w:rsid w:val="00E71035"/>
    <w:rsid w:val="00E71F30"/>
    <w:rsid w:val="00E72B59"/>
    <w:rsid w:val="00E7348B"/>
    <w:rsid w:val="00E741ED"/>
    <w:rsid w:val="00E7452C"/>
    <w:rsid w:val="00E74E55"/>
    <w:rsid w:val="00E7553C"/>
    <w:rsid w:val="00E758E8"/>
    <w:rsid w:val="00E76527"/>
    <w:rsid w:val="00E76FE8"/>
    <w:rsid w:val="00E776B7"/>
    <w:rsid w:val="00E77AAD"/>
    <w:rsid w:val="00E77E3C"/>
    <w:rsid w:val="00E77E84"/>
    <w:rsid w:val="00E816A2"/>
    <w:rsid w:val="00E81F2B"/>
    <w:rsid w:val="00E82252"/>
    <w:rsid w:val="00E82EDA"/>
    <w:rsid w:val="00E82F69"/>
    <w:rsid w:val="00E83012"/>
    <w:rsid w:val="00E83D81"/>
    <w:rsid w:val="00E84388"/>
    <w:rsid w:val="00E84F58"/>
    <w:rsid w:val="00E84FCC"/>
    <w:rsid w:val="00E85BD0"/>
    <w:rsid w:val="00E879D0"/>
    <w:rsid w:val="00E903EA"/>
    <w:rsid w:val="00E90F4D"/>
    <w:rsid w:val="00E913D5"/>
    <w:rsid w:val="00E9236F"/>
    <w:rsid w:val="00E926C6"/>
    <w:rsid w:val="00E9413D"/>
    <w:rsid w:val="00E9487E"/>
    <w:rsid w:val="00E952B8"/>
    <w:rsid w:val="00E97ACE"/>
    <w:rsid w:val="00EA02B8"/>
    <w:rsid w:val="00EA0C31"/>
    <w:rsid w:val="00EA2BA5"/>
    <w:rsid w:val="00EA2DB9"/>
    <w:rsid w:val="00EA30FD"/>
    <w:rsid w:val="00EA353C"/>
    <w:rsid w:val="00EA51E9"/>
    <w:rsid w:val="00EA5CF7"/>
    <w:rsid w:val="00EA6396"/>
    <w:rsid w:val="00EA66DC"/>
    <w:rsid w:val="00EA685C"/>
    <w:rsid w:val="00EA76CE"/>
    <w:rsid w:val="00EA7F47"/>
    <w:rsid w:val="00EB0B5E"/>
    <w:rsid w:val="00EB0CA0"/>
    <w:rsid w:val="00EB1161"/>
    <w:rsid w:val="00EB1D62"/>
    <w:rsid w:val="00EB258B"/>
    <w:rsid w:val="00EB2AA2"/>
    <w:rsid w:val="00EB3462"/>
    <w:rsid w:val="00EB5029"/>
    <w:rsid w:val="00EB66EF"/>
    <w:rsid w:val="00EC021E"/>
    <w:rsid w:val="00EC08E0"/>
    <w:rsid w:val="00EC1500"/>
    <w:rsid w:val="00EC2547"/>
    <w:rsid w:val="00EC3AC3"/>
    <w:rsid w:val="00EC3D8C"/>
    <w:rsid w:val="00EC4CF3"/>
    <w:rsid w:val="00EC4E7B"/>
    <w:rsid w:val="00EC5998"/>
    <w:rsid w:val="00EC5E24"/>
    <w:rsid w:val="00EC61D8"/>
    <w:rsid w:val="00ED18D7"/>
    <w:rsid w:val="00ED25F7"/>
    <w:rsid w:val="00ED2A3B"/>
    <w:rsid w:val="00ED3F25"/>
    <w:rsid w:val="00ED517E"/>
    <w:rsid w:val="00ED5553"/>
    <w:rsid w:val="00ED594C"/>
    <w:rsid w:val="00ED6412"/>
    <w:rsid w:val="00ED70EC"/>
    <w:rsid w:val="00ED7842"/>
    <w:rsid w:val="00ED7B06"/>
    <w:rsid w:val="00EE151E"/>
    <w:rsid w:val="00EE1A9D"/>
    <w:rsid w:val="00EE2A15"/>
    <w:rsid w:val="00EE48BF"/>
    <w:rsid w:val="00EF194E"/>
    <w:rsid w:val="00EF1BCD"/>
    <w:rsid w:val="00EF1BD2"/>
    <w:rsid w:val="00EF34F2"/>
    <w:rsid w:val="00EF4207"/>
    <w:rsid w:val="00EF4213"/>
    <w:rsid w:val="00EF6977"/>
    <w:rsid w:val="00EF75D2"/>
    <w:rsid w:val="00EF7688"/>
    <w:rsid w:val="00F01588"/>
    <w:rsid w:val="00F01EC5"/>
    <w:rsid w:val="00F06119"/>
    <w:rsid w:val="00F0673D"/>
    <w:rsid w:val="00F06EDF"/>
    <w:rsid w:val="00F10935"/>
    <w:rsid w:val="00F11047"/>
    <w:rsid w:val="00F1105A"/>
    <w:rsid w:val="00F12F8A"/>
    <w:rsid w:val="00F137E7"/>
    <w:rsid w:val="00F13B96"/>
    <w:rsid w:val="00F13BB5"/>
    <w:rsid w:val="00F13E38"/>
    <w:rsid w:val="00F13EAE"/>
    <w:rsid w:val="00F14F5E"/>
    <w:rsid w:val="00F17D6B"/>
    <w:rsid w:val="00F208E9"/>
    <w:rsid w:val="00F2104F"/>
    <w:rsid w:val="00F21170"/>
    <w:rsid w:val="00F22B7E"/>
    <w:rsid w:val="00F23690"/>
    <w:rsid w:val="00F23E47"/>
    <w:rsid w:val="00F24C45"/>
    <w:rsid w:val="00F253B3"/>
    <w:rsid w:val="00F263D8"/>
    <w:rsid w:val="00F269B1"/>
    <w:rsid w:val="00F26F53"/>
    <w:rsid w:val="00F2773E"/>
    <w:rsid w:val="00F27D1C"/>
    <w:rsid w:val="00F27E48"/>
    <w:rsid w:val="00F34401"/>
    <w:rsid w:val="00F34C63"/>
    <w:rsid w:val="00F36AAE"/>
    <w:rsid w:val="00F36DCD"/>
    <w:rsid w:val="00F375E8"/>
    <w:rsid w:val="00F37F32"/>
    <w:rsid w:val="00F40102"/>
    <w:rsid w:val="00F40869"/>
    <w:rsid w:val="00F41DF9"/>
    <w:rsid w:val="00F46903"/>
    <w:rsid w:val="00F479DC"/>
    <w:rsid w:val="00F50581"/>
    <w:rsid w:val="00F5219B"/>
    <w:rsid w:val="00F52528"/>
    <w:rsid w:val="00F52D73"/>
    <w:rsid w:val="00F534E2"/>
    <w:rsid w:val="00F53A26"/>
    <w:rsid w:val="00F546FE"/>
    <w:rsid w:val="00F55568"/>
    <w:rsid w:val="00F560B1"/>
    <w:rsid w:val="00F5799E"/>
    <w:rsid w:val="00F603E4"/>
    <w:rsid w:val="00F61EAA"/>
    <w:rsid w:val="00F61ECE"/>
    <w:rsid w:val="00F6226C"/>
    <w:rsid w:val="00F62459"/>
    <w:rsid w:val="00F63586"/>
    <w:rsid w:val="00F63DBD"/>
    <w:rsid w:val="00F65C10"/>
    <w:rsid w:val="00F6624C"/>
    <w:rsid w:val="00F66B49"/>
    <w:rsid w:val="00F67566"/>
    <w:rsid w:val="00F67C9F"/>
    <w:rsid w:val="00F70304"/>
    <w:rsid w:val="00F721A4"/>
    <w:rsid w:val="00F757CC"/>
    <w:rsid w:val="00F758BE"/>
    <w:rsid w:val="00F760BA"/>
    <w:rsid w:val="00F76E3B"/>
    <w:rsid w:val="00F7705E"/>
    <w:rsid w:val="00F80362"/>
    <w:rsid w:val="00F82FC8"/>
    <w:rsid w:val="00F84975"/>
    <w:rsid w:val="00F868B6"/>
    <w:rsid w:val="00F86983"/>
    <w:rsid w:val="00F87839"/>
    <w:rsid w:val="00F900A1"/>
    <w:rsid w:val="00F9194E"/>
    <w:rsid w:val="00F91B5B"/>
    <w:rsid w:val="00F91E60"/>
    <w:rsid w:val="00F921A9"/>
    <w:rsid w:val="00F92945"/>
    <w:rsid w:val="00F92DB9"/>
    <w:rsid w:val="00F9366A"/>
    <w:rsid w:val="00F9622D"/>
    <w:rsid w:val="00F962AC"/>
    <w:rsid w:val="00F974EB"/>
    <w:rsid w:val="00F97E9E"/>
    <w:rsid w:val="00FA2182"/>
    <w:rsid w:val="00FA3577"/>
    <w:rsid w:val="00FA4334"/>
    <w:rsid w:val="00FA4639"/>
    <w:rsid w:val="00FA5525"/>
    <w:rsid w:val="00FA5E90"/>
    <w:rsid w:val="00FA6141"/>
    <w:rsid w:val="00FA6A38"/>
    <w:rsid w:val="00FA7290"/>
    <w:rsid w:val="00FA7987"/>
    <w:rsid w:val="00FA79D1"/>
    <w:rsid w:val="00FA7D67"/>
    <w:rsid w:val="00FB1DF5"/>
    <w:rsid w:val="00FB1F93"/>
    <w:rsid w:val="00FB3A37"/>
    <w:rsid w:val="00FB3C80"/>
    <w:rsid w:val="00FB5119"/>
    <w:rsid w:val="00FB5BC8"/>
    <w:rsid w:val="00FB5DE6"/>
    <w:rsid w:val="00FB6D52"/>
    <w:rsid w:val="00FB7682"/>
    <w:rsid w:val="00FC1114"/>
    <w:rsid w:val="00FC1B23"/>
    <w:rsid w:val="00FC2D46"/>
    <w:rsid w:val="00FC355F"/>
    <w:rsid w:val="00FC3571"/>
    <w:rsid w:val="00FC7732"/>
    <w:rsid w:val="00FD1108"/>
    <w:rsid w:val="00FD20E5"/>
    <w:rsid w:val="00FD2CC4"/>
    <w:rsid w:val="00FD60C5"/>
    <w:rsid w:val="00FD61AD"/>
    <w:rsid w:val="00FD6423"/>
    <w:rsid w:val="00FE0454"/>
    <w:rsid w:val="00FE0B56"/>
    <w:rsid w:val="00FE0F4D"/>
    <w:rsid w:val="00FE1032"/>
    <w:rsid w:val="00FE112E"/>
    <w:rsid w:val="00FE20B5"/>
    <w:rsid w:val="00FE4505"/>
    <w:rsid w:val="00FE4B35"/>
    <w:rsid w:val="00FE5311"/>
    <w:rsid w:val="00FF017C"/>
    <w:rsid w:val="00FF0ADE"/>
    <w:rsid w:val="00FF1E95"/>
    <w:rsid w:val="00FF33A4"/>
    <w:rsid w:val="00FF44FC"/>
    <w:rsid w:val="00FF4AC2"/>
    <w:rsid w:val="00FF6BAC"/>
    <w:rsid w:val="00FF7313"/>
    <w:rsid w:val="00FF7D68"/>
    <w:rsid w:val="00FF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colormenu v:ext="edit" fillcolor="none" strokecolor="none"/>
    </o:shapedefaults>
    <o:shapelayout v:ext="edit">
      <o:idmap v:ext="edit" data="1"/>
    </o:shapelayout>
  </w:shapeDefaults>
  <w:decimalSymbol w:val="."/>
  <w:listSeparator w:val=","/>
  <w14:docId w14:val="704744FD"/>
  <w15:docId w15:val="{87E365DD-E123-4AB6-85E3-757DB9D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79"/>
    <w:pPr>
      <w:jc w:val="both"/>
    </w:pPr>
    <w:rPr>
      <w:rFonts w:ascii="Arial" w:hAnsi="Arial"/>
      <w:sz w:val="24"/>
      <w:szCs w:val="24"/>
      <w:lang w:eastAsia="en-US"/>
    </w:rPr>
  </w:style>
  <w:style w:type="paragraph" w:styleId="Heading1">
    <w:name w:val="heading 1"/>
    <w:basedOn w:val="Normal"/>
    <w:next w:val="Normal"/>
    <w:qFormat/>
    <w:rsid w:val="00C578B8"/>
    <w:pPr>
      <w:keepNext/>
      <w:keepLines/>
      <w:spacing w:before="480"/>
      <w:outlineLvl w:val="0"/>
    </w:pPr>
    <w:rPr>
      <w:b/>
      <w:bCs/>
      <w:color w:val="525D36"/>
      <w:sz w:val="32"/>
      <w:szCs w:val="28"/>
    </w:rPr>
  </w:style>
  <w:style w:type="paragraph" w:styleId="Heading2">
    <w:name w:val="heading 2"/>
    <w:basedOn w:val="Normal"/>
    <w:next w:val="Normal"/>
    <w:link w:val="Heading2Char"/>
    <w:unhideWhenUsed/>
    <w:qFormat/>
    <w:rsid w:val="00C578B8"/>
    <w:pPr>
      <w:keepNext/>
      <w:keepLines/>
      <w:spacing w:before="200"/>
      <w:outlineLvl w:val="1"/>
    </w:pPr>
    <w:rPr>
      <w:b/>
      <w:bCs/>
      <w:color w:val="525D36"/>
      <w:szCs w:val="26"/>
    </w:rPr>
  </w:style>
  <w:style w:type="paragraph" w:styleId="Heading3">
    <w:name w:val="heading 3"/>
    <w:basedOn w:val="Normal"/>
    <w:next w:val="Normal"/>
    <w:link w:val="Heading3Char"/>
    <w:semiHidden/>
    <w:unhideWhenUsed/>
    <w:rsid w:val="00C578B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rsid w:val="00C578B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C578B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rsid w:val="00C578B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rsid w:val="00C578B8"/>
    <w:pPr>
      <w:spacing w:before="240" w:after="60"/>
      <w:outlineLvl w:val="6"/>
    </w:pPr>
    <w:rPr>
      <w:rFonts w:ascii="Calibri" w:hAnsi="Calibri"/>
    </w:rPr>
  </w:style>
  <w:style w:type="paragraph" w:styleId="Heading8">
    <w:name w:val="heading 8"/>
    <w:basedOn w:val="Normal"/>
    <w:next w:val="Normal"/>
    <w:link w:val="Heading8Char"/>
    <w:semiHidden/>
    <w:unhideWhenUsed/>
    <w:rsid w:val="00C578B8"/>
    <w:pPr>
      <w:spacing w:before="240" w:after="60"/>
      <w:outlineLvl w:val="7"/>
    </w:pPr>
    <w:rPr>
      <w:rFonts w:ascii="Calibri" w:hAnsi="Calibri"/>
      <w:i/>
      <w:iCs/>
    </w:rPr>
  </w:style>
  <w:style w:type="paragraph" w:styleId="Heading9">
    <w:name w:val="heading 9"/>
    <w:basedOn w:val="Normal"/>
    <w:next w:val="Normal"/>
    <w:link w:val="Heading9Char"/>
    <w:semiHidden/>
    <w:unhideWhenUsed/>
    <w:rsid w:val="00C578B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3373"/>
    <w:pPr>
      <w:tabs>
        <w:tab w:val="center" w:pos="4153"/>
        <w:tab w:val="right" w:pos="8306"/>
      </w:tabs>
    </w:pPr>
  </w:style>
  <w:style w:type="paragraph" w:styleId="Footer">
    <w:name w:val="footer"/>
    <w:basedOn w:val="Normal"/>
    <w:link w:val="FooterChar"/>
    <w:rsid w:val="00873373"/>
    <w:pPr>
      <w:tabs>
        <w:tab w:val="center" w:pos="4153"/>
        <w:tab w:val="right" w:pos="8306"/>
      </w:tabs>
    </w:pPr>
  </w:style>
  <w:style w:type="paragraph" w:customStyle="1" w:styleId="ReportTitle">
    <w:name w:val="Report Title"/>
    <w:basedOn w:val="Normal"/>
    <w:rsid w:val="0083480D"/>
    <w:pPr>
      <w:spacing w:after="320"/>
    </w:pPr>
    <w:rPr>
      <w:rFonts w:ascii="Trebuchet MS" w:hAnsi="Trebuchet MS"/>
      <w:color w:val="F78E1D"/>
      <w:sz w:val="48"/>
      <w:szCs w:val="20"/>
    </w:rPr>
  </w:style>
  <w:style w:type="paragraph" w:customStyle="1" w:styleId="StyleHeading1DarkRed">
    <w:name w:val="Style Heading 1 + Dark Red"/>
    <w:basedOn w:val="Heading1"/>
    <w:rsid w:val="0083480D"/>
    <w:pPr>
      <w:spacing w:after="320"/>
    </w:pPr>
    <w:rPr>
      <w:color w:val="800000"/>
    </w:rPr>
  </w:style>
  <w:style w:type="character" w:customStyle="1" w:styleId="Heading2Char">
    <w:name w:val="Heading 2 Char"/>
    <w:link w:val="Heading2"/>
    <w:rsid w:val="00C578B8"/>
    <w:rPr>
      <w:rFonts w:ascii="Arial" w:hAnsi="Arial"/>
      <w:b/>
      <w:bCs/>
      <w:color w:val="525D36"/>
      <w:sz w:val="24"/>
      <w:szCs w:val="26"/>
      <w:lang w:eastAsia="en-US"/>
    </w:rPr>
  </w:style>
  <w:style w:type="paragraph" w:styleId="BalloonText">
    <w:name w:val="Balloon Text"/>
    <w:basedOn w:val="Normal"/>
    <w:link w:val="BalloonTextChar"/>
    <w:rsid w:val="00C578B8"/>
    <w:rPr>
      <w:rFonts w:ascii="Tahoma" w:hAnsi="Tahoma" w:cs="Tahoma"/>
      <w:sz w:val="16"/>
      <w:szCs w:val="16"/>
    </w:rPr>
  </w:style>
  <w:style w:type="character" w:customStyle="1" w:styleId="BalloonTextChar">
    <w:name w:val="Balloon Text Char"/>
    <w:link w:val="BalloonText"/>
    <w:rsid w:val="00C578B8"/>
    <w:rPr>
      <w:rFonts w:ascii="Tahoma" w:hAnsi="Tahoma" w:cs="Tahoma"/>
      <w:sz w:val="16"/>
      <w:szCs w:val="16"/>
      <w:lang w:eastAsia="en-US"/>
    </w:rPr>
  </w:style>
  <w:style w:type="paragraph" w:styleId="Bibliography">
    <w:name w:val="Bibliography"/>
    <w:basedOn w:val="Normal"/>
    <w:next w:val="Normal"/>
    <w:uiPriority w:val="37"/>
    <w:semiHidden/>
    <w:unhideWhenUsed/>
    <w:rsid w:val="00C578B8"/>
  </w:style>
  <w:style w:type="paragraph" w:styleId="BlockText">
    <w:name w:val="Block Text"/>
    <w:basedOn w:val="Normal"/>
    <w:rsid w:val="00C578B8"/>
    <w:pPr>
      <w:spacing w:after="120"/>
      <w:ind w:left="1440" w:right="1440"/>
    </w:pPr>
  </w:style>
  <w:style w:type="paragraph" w:styleId="BodyText">
    <w:name w:val="Body Text"/>
    <w:basedOn w:val="Normal"/>
    <w:link w:val="BodyTextChar"/>
    <w:rsid w:val="00C578B8"/>
    <w:pPr>
      <w:spacing w:after="120"/>
    </w:pPr>
  </w:style>
  <w:style w:type="character" w:customStyle="1" w:styleId="BodyTextChar">
    <w:name w:val="Body Text Char"/>
    <w:link w:val="BodyText"/>
    <w:rsid w:val="00C578B8"/>
    <w:rPr>
      <w:rFonts w:ascii="Arial" w:hAnsi="Arial"/>
      <w:sz w:val="24"/>
      <w:szCs w:val="24"/>
      <w:lang w:eastAsia="en-US"/>
    </w:rPr>
  </w:style>
  <w:style w:type="paragraph" w:styleId="BodyText2">
    <w:name w:val="Body Text 2"/>
    <w:basedOn w:val="Normal"/>
    <w:link w:val="BodyText2Char"/>
    <w:rsid w:val="00C578B8"/>
    <w:pPr>
      <w:spacing w:after="120" w:line="480" w:lineRule="auto"/>
    </w:pPr>
  </w:style>
  <w:style w:type="character" w:customStyle="1" w:styleId="BodyText2Char">
    <w:name w:val="Body Text 2 Char"/>
    <w:link w:val="BodyText2"/>
    <w:rsid w:val="00C578B8"/>
    <w:rPr>
      <w:rFonts w:ascii="Arial" w:hAnsi="Arial"/>
      <w:sz w:val="24"/>
      <w:szCs w:val="24"/>
      <w:lang w:eastAsia="en-US"/>
    </w:rPr>
  </w:style>
  <w:style w:type="paragraph" w:styleId="BodyText3">
    <w:name w:val="Body Text 3"/>
    <w:basedOn w:val="Normal"/>
    <w:link w:val="BodyText3Char"/>
    <w:rsid w:val="00C578B8"/>
    <w:pPr>
      <w:spacing w:after="120"/>
    </w:pPr>
    <w:rPr>
      <w:sz w:val="16"/>
      <w:szCs w:val="16"/>
    </w:rPr>
  </w:style>
  <w:style w:type="character" w:customStyle="1" w:styleId="BodyText3Char">
    <w:name w:val="Body Text 3 Char"/>
    <w:link w:val="BodyText3"/>
    <w:rsid w:val="00C578B8"/>
    <w:rPr>
      <w:rFonts w:ascii="Arial" w:hAnsi="Arial"/>
      <w:sz w:val="16"/>
      <w:szCs w:val="16"/>
      <w:lang w:eastAsia="en-US"/>
    </w:rPr>
  </w:style>
  <w:style w:type="paragraph" w:styleId="BodyTextFirstIndent">
    <w:name w:val="Body Text First Indent"/>
    <w:basedOn w:val="BodyText"/>
    <w:link w:val="BodyTextFirstIndentChar"/>
    <w:rsid w:val="00C578B8"/>
    <w:pPr>
      <w:ind w:firstLine="210"/>
    </w:pPr>
  </w:style>
  <w:style w:type="character" w:customStyle="1" w:styleId="BodyTextFirstIndentChar">
    <w:name w:val="Body Text First Indent Char"/>
    <w:link w:val="BodyTextFirstIndent"/>
    <w:rsid w:val="00C578B8"/>
    <w:rPr>
      <w:rFonts w:ascii="Arial" w:hAnsi="Arial"/>
      <w:sz w:val="24"/>
      <w:szCs w:val="24"/>
      <w:lang w:eastAsia="en-US"/>
    </w:rPr>
  </w:style>
  <w:style w:type="paragraph" w:styleId="BodyTextIndent">
    <w:name w:val="Body Text Indent"/>
    <w:basedOn w:val="Normal"/>
    <w:link w:val="BodyTextIndentChar"/>
    <w:rsid w:val="00C578B8"/>
    <w:pPr>
      <w:spacing w:after="120"/>
      <w:ind w:left="283"/>
    </w:pPr>
  </w:style>
  <w:style w:type="character" w:customStyle="1" w:styleId="BodyTextIndentChar">
    <w:name w:val="Body Text Indent Char"/>
    <w:link w:val="BodyTextIndent"/>
    <w:rsid w:val="00C578B8"/>
    <w:rPr>
      <w:rFonts w:ascii="Arial" w:hAnsi="Arial"/>
      <w:sz w:val="24"/>
      <w:szCs w:val="24"/>
      <w:lang w:eastAsia="en-US"/>
    </w:rPr>
  </w:style>
  <w:style w:type="paragraph" w:styleId="BodyTextFirstIndent2">
    <w:name w:val="Body Text First Indent 2"/>
    <w:basedOn w:val="BodyTextIndent"/>
    <w:link w:val="BodyTextFirstIndent2Char"/>
    <w:rsid w:val="00C578B8"/>
    <w:pPr>
      <w:ind w:firstLine="210"/>
    </w:pPr>
  </w:style>
  <w:style w:type="character" w:customStyle="1" w:styleId="BodyTextFirstIndent2Char">
    <w:name w:val="Body Text First Indent 2 Char"/>
    <w:link w:val="BodyTextFirstIndent2"/>
    <w:rsid w:val="00C578B8"/>
    <w:rPr>
      <w:rFonts w:ascii="Arial" w:hAnsi="Arial"/>
      <w:sz w:val="24"/>
      <w:szCs w:val="24"/>
      <w:lang w:eastAsia="en-US"/>
    </w:rPr>
  </w:style>
  <w:style w:type="paragraph" w:styleId="BodyTextIndent2">
    <w:name w:val="Body Text Indent 2"/>
    <w:basedOn w:val="Normal"/>
    <w:link w:val="BodyTextIndent2Char"/>
    <w:rsid w:val="00C578B8"/>
    <w:pPr>
      <w:spacing w:after="120" w:line="480" w:lineRule="auto"/>
      <w:ind w:left="283"/>
    </w:pPr>
  </w:style>
  <w:style w:type="character" w:customStyle="1" w:styleId="BodyTextIndent2Char">
    <w:name w:val="Body Text Indent 2 Char"/>
    <w:link w:val="BodyTextIndent2"/>
    <w:rsid w:val="00C578B8"/>
    <w:rPr>
      <w:rFonts w:ascii="Arial" w:hAnsi="Arial"/>
      <w:sz w:val="24"/>
      <w:szCs w:val="24"/>
      <w:lang w:eastAsia="en-US"/>
    </w:rPr>
  </w:style>
  <w:style w:type="paragraph" w:styleId="BodyTextIndent3">
    <w:name w:val="Body Text Indent 3"/>
    <w:basedOn w:val="Normal"/>
    <w:link w:val="BodyTextIndent3Char"/>
    <w:rsid w:val="00C578B8"/>
    <w:pPr>
      <w:spacing w:after="120"/>
      <w:ind w:left="283"/>
    </w:pPr>
    <w:rPr>
      <w:sz w:val="16"/>
      <w:szCs w:val="16"/>
    </w:rPr>
  </w:style>
  <w:style w:type="character" w:customStyle="1" w:styleId="BodyTextIndent3Char">
    <w:name w:val="Body Text Indent 3 Char"/>
    <w:link w:val="BodyTextIndent3"/>
    <w:rsid w:val="00C578B8"/>
    <w:rPr>
      <w:rFonts w:ascii="Arial" w:hAnsi="Arial"/>
      <w:sz w:val="16"/>
      <w:szCs w:val="16"/>
      <w:lang w:eastAsia="en-US"/>
    </w:rPr>
  </w:style>
  <w:style w:type="character" w:styleId="BookTitle">
    <w:name w:val="Book Title"/>
    <w:uiPriority w:val="33"/>
    <w:rsid w:val="00C578B8"/>
    <w:rPr>
      <w:b/>
      <w:bCs/>
      <w:smallCaps/>
      <w:spacing w:val="5"/>
      <w:lang w:val="en-AU"/>
    </w:rPr>
  </w:style>
  <w:style w:type="paragraph" w:styleId="Caption">
    <w:name w:val="caption"/>
    <w:basedOn w:val="Normal"/>
    <w:next w:val="Normal"/>
    <w:semiHidden/>
    <w:unhideWhenUsed/>
    <w:rsid w:val="00C578B8"/>
    <w:rPr>
      <w:b/>
      <w:bCs/>
      <w:sz w:val="20"/>
      <w:szCs w:val="20"/>
    </w:rPr>
  </w:style>
  <w:style w:type="paragraph" w:styleId="Closing">
    <w:name w:val="Closing"/>
    <w:basedOn w:val="Normal"/>
    <w:link w:val="ClosingChar"/>
    <w:rsid w:val="00C578B8"/>
    <w:pPr>
      <w:ind w:left="4252"/>
    </w:pPr>
  </w:style>
  <w:style w:type="character" w:customStyle="1" w:styleId="ClosingChar">
    <w:name w:val="Closing Char"/>
    <w:link w:val="Closing"/>
    <w:rsid w:val="00C578B8"/>
    <w:rPr>
      <w:rFonts w:ascii="Arial" w:hAnsi="Arial"/>
      <w:sz w:val="24"/>
      <w:szCs w:val="24"/>
      <w:lang w:eastAsia="en-US"/>
    </w:rPr>
  </w:style>
  <w:style w:type="character" w:styleId="CommentReference">
    <w:name w:val="annotation reference"/>
    <w:rsid w:val="00C578B8"/>
    <w:rPr>
      <w:sz w:val="16"/>
      <w:szCs w:val="16"/>
      <w:lang w:val="en-AU"/>
    </w:rPr>
  </w:style>
  <w:style w:type="paragraph" w:styleId="CommentText">
    <w:name w:val="annotation text"/>
    <w:basedOn w:val="Normal"/>
    <w:link w:val="CommentTextChar"/>
    <w:rsid w:val="00C578B8"/>
    <w:rPr>
      <w:sz w:val="20"/>
      <w:szCs w:val="20"/>
    </w:rPr>
  </w:style>
  <w:style w:type="character" w:customStyle="1" w:styleId="CommentTextChar">
    <w:name w:val="Comment Text Char"/>
    <w:link w:val="CommentText"/>
    <w:rsid w:val="00C578B8"/>
    <w:rPr>
      <w:rFonts w:ascii="Arial" w:hAnsi="Arial"/>
      <w:lang w:eastAsia="en-US"/>
    </w:rPr>
  </w:style>
  <w:style w:type="paragraph" w:styleId="CommentSubject">
    <w:name w:val="annotation subject"/>
    <w:basedOn w:val="CommentText"/>
    <w:next w:val="CommentText"/>
    <w:link w:val="CommentSubjectChar"/>
    <w:rsid w:val="00C578B8"/>
    <w:rPr>
      <w:b/>
      <w:bCs/>
    </w:rPr>
  </w:style>
  <w:style w:type="character" w:customStyle="1" w:styleId="CommentSubjectChar">
    <w:name w:val="Comment Subject Char"/>
    <w:link w:val="CommentSubject"/>
    <w:rsid w:val="00C578B8"/>
    <w:rPr>
      <w:rFonts w:ascii="Arial" w:hAnsi="Arial"/>
      <w:b/>
      <w:bCs/>
      <w:lang w:eastAsia="en-US"/>
    </w:rPr>
  </w:style>
  <w:style w:type="paragraph" w:styleId="Date">
    <w:name w:val="Date"/>
    <w:basedOn w:val="Normal"/>
    <w:next w:val="Normal"/>
    <w:link w:val="DateChar"/>
    <w:rsid w:val="00C578B8"/>
  </w:style>
  <w:style w:type="character" w:customStyle="1" w:styleId="DateChar">
    <w:name w:val="Date Char"/>
    <w:link w:val="Date"/>
    <w:rsid w:val="00C578B8"/>
    <w:rPr>
      <w:rFonts w:ascii="Arial" w:hAnsi="Arial"/>
      <w:sz w:val="24"/>
      <w:szCs w:val="24"/>
      <w:lang w:eastAsia="en-US"/>
    </w:rPr>
  </w:style>
  <w:style w:type="paragraph" w:styleId="DocumentMap">
    <w:name w:val="Document Map"/>
    <w:basedOn w:val="Normal"/>
    <w:link w:val="DocumentMapChar"/>
    <w:rsid w:val="00C578B8"/>
    <w:rPr>
      <w:rFonts w:ascii="Tahoma" w:hAnsi="Tahoma" w:cs="Tahoma"/>
      <w:sz w:val="16"/>
      <w:szCs w:val="16"/>
    </w:rPr>
  </w:style>
  <w:style w:type="character" w:customStyle="1" w:styleId="DocumentMapChar">
    <w:name w:val="Document Map Char"/>
    <w:link w:val="DocumentMap"/>
    <w:rsid w:val="00C578B8"/>
    <w:rPr>
      <w:rFonts w:ascii="Tahoma" w:hAnsi="Tahoma" w:cs="Tahoma"/>
      <w:sz w:val="16"/>
      <w:szCs w:val="16"/>
      <w:lang w:eastAsia="en-US"/>
    </w:rPr>
  </w:style>
  <w:style w:type="paragraph" w:styleId="E-mailSignature">
    <w:name w:val="E-mail Signature"/>
    <w:basedOn w:val="Normal"/>
    <w:link w:val="E-mailSignatureChar"/>
    <w:rsid w:val="00C578B8"/>
  </w:style>
  <w:style w:type="character" w:customStyle="1" w:styleId="E-mailSignatureChar">
    <w:name w:val="E-mail Signature Char"/>
    <w:link w:val="E-mailSignature"/>
    <w:rsid w:val="00C578B8"/>
    <w:rPr>
      <w:rFonts w:ascii="Arial" w:hAnsi="Arial"/>
      <w:sz w:val="24"/>
      <w:szCs w:val="24"/>
      <w:lang w:eastAsia="en-US"/>
    </w:rPr>
  </w:style>
  <w:style w:type="character" w:styleId="Emphasis">
    <w:name w:val="Emphasis"/>
    <w:rsid w:val="00C578B8"/>
    <w:rPr>
      <w:i/>
      <w:iCs/>
    </w:rPr>
  </w:style>
  <w:style w:type="character" w:styleId="EndnoteReference">
    <w:name w:val="endnote reference"/>
    <w:rsid w:val="00C578B8"/>
    <w:rPr>
      <w:vertAlign w:val="superscript"/>
    </w:rPr>
  </w:style>
  <w:style w:type="paragraph" w:styleId="EndnoteText">
    <w:name w:val="endnote text"/>
    <w:basedOn w:val="Normal"/>
    <w:link w:val="EndnoteTextChar"/>
    <w:rsid w:val="00C578B8"/>
    <w:rPr>
      <w:sz w:val="20"/>
      <w:szCs w:val="20"/>
    </w:rPr>
  </w:style>
  <w:style w:type="character" w:customStyle="1" w:styleId="EndnoteTextChar">
    <w:name w:val="Endnote Text Char"/>
    <w:link w:val="EndnoteText"/>
    <w:rsid w:val="00C578B8"/>
    <w:rPr>
      <w:rFonts w:ascii="Arial" w:hAnsi="Arial"/>
      <w:lang w:eastAsia="en-US"/>
    </w:rPr>
  </w:style>
  <w:style w:type="paragraph" w:styleId="EnvelopeAddress">
    <w:name w:val="envelope address"/>
    <w:basedOn w:val="Normal"/>
    <w:rsid w:val="00C578B8"/>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578B8"/>
    <w:rPr>
      <w:rFonts w:ascii="Cambria" w:hAnsi="Cambria"/>
      <w:sz w:val="20"/>
      <w:szCs w:val="20"/>
    </w:rPr>
  </w:style>
  <w:style w:type="character" w:styleId="FollowedHyperlink">
    <w:name w:val="FollowedHyperlink"/>
    <w:rsid w:val="00C578B8"/>
    <w:rPr>
      <w:color w:val="800080"/>
      <w:u w:val="single"/>
    </w:rPr>
  </w:style>
  <w:style w:type="character" w:styleId="FootnoteReference">
    <w:name w:val="footnote reference"/>
    <w:rsid w:val="00C578B8"/>
    <w:rPr>
      <w:vertAlign w:val="superscript"/>
    </w:rPr>
  </w:style>
  <w:style w:type="paragraph" w:styleId="FootnoteText">
    <w:name w:val="footnote text"/>
    <w:basedOn w:val="Normal"/>
    <w:link w:val="FootnoteTextChar"/>
    <w:rsid w:val="00C578B8"/>
    <w:rPr>
      <w:sz w:val="20"/>
      <w:szCs w:val="20"/>
    </w:rPr>
  </w:style>
  <w:style w:type="character" w:customStyle="1" w:styleId="FootnoteTextChar">
    <w:name w:val="Footnote Text Char"/>
    <w:link w:val="FootnoteText"/>
    <w:rsid w:val="00C578B8"/>
    <w:rPr>
      <w:rFonts w:ascii="Arial" w:hAnsi="Arial"/>
      <w:lang w:eastAsia="en-US"/>
    </w:rPr>
  </w:style>
  <w:style w:type="character" w:customStyle="1" w:styleId="Heading3Char">
    <w:name w:val="Heading 3 Char"/>
    <w:link w:val="Heading3"/>
    <w:semiHidden/>
    <w:rsid w:val="00C578B8"/>
    <w:rPr>
      <w:rFonts w:ascii="Cambria" w:hAnsi="Cambria"/>
      <w:b/>
      <w:bCs/>
      <w:sz w:val="26"/>
      <w:szCs w:val="26"/>
      <w:lang w:eastAsia="en-US"/>
    </w:rPr>
  </w:style>
  <w:style w:type="character" w:customStyle="1" w:styleId="Heading4Char">
    <w:name w:val="Heading 4 Char"/>
    <w:link w:val="Heading4"/>
    <w:semiHidden/>
    <w:rsid w:val="00C578B8"/>
    <w:rPr>
      <w:rFonts w:ascii="Calibri" w:hAnsi="Calibri"/>
      <w:b/>
      <w:bCs/>
      <w:sz w:val="28"/>
      <w:szCs w:val="28"/>
      <w:lang w:eastAsia="en-US"/>
    </w:rPr>
  </w:style>
  <w:style w:type="character" w:customStyle="1" w:styleId="Heading5Char">
    <w:name w:val="Heading 5 Char"/>
    <w:link w:val="Heading5"/>
    <w:semiHidden/>
    <w:rsid w:val="00C578B8"/>
    <w:rPr>
      <w:rFonts w:ascii="Calibri" w:hAnsi="Calibri"/>
      <w:b/>
      <w:bCs/>
      <w:i/>
      <w:iCs/>
      <w:sz w:val="26"/>
      <w:szCs w:val="26"/>
      <w:lang w:eastAsia="en-US"/>
    </w:rPr>
  </w:style>
  <w:style w:type="character" w:customStyle="1" w:styleId="Heading6Char">
    <w:name w:val="Heading 6 Char"/>
    <w:link w:val="Heading6"/>
    <w:semiHidden/>
    <w:rsid w:val="00C578B8"/>
    <w:rPr>
      <w:rFonts w:ascii="Calibri" w:hAnsi="Calibri"/>
      <w:b/>
      <w:bCs/>
      <w:sz w:val="22"/>
      <w:szCs w:val="22"/>
      <w:lang w:eastAsia="en-US"/>
    </w:rPr>
  </w:style>
  <w:style w:type="character" w:customStyle="1" w:styleId="Heading7Char">
    <w:name w:val="Heading 7 Char"/>
    <w:link w:val="Heading7"/>
    <w:semiHidden/>
    <w:rsid w:val="00C578B8"/>
    <w:rPr>
      <w:rFonts w:ascii="Calibri" w:hAnsi="Calibri"/>
      <w:sz w:val="24"/>
      <w:szCs w:val="24"/>
      <w:lang w:eastAsia="en-US"/>
    </w:rPr>
  </w:style>
  <w:style w:type="character" w:customStyle="1" w:styleId="Heading8Char">
    <w:name w:val="Heading 8 Char"/>
    <w:link w:val="Heading8"/>
    <w:semiHidden/>
    <w:rsid w:val="00C578B8"/>
    <w:rPr>
      <w:rFonts w:ascii="Calibri" w:hAnsi="Calibri"/>
      <w:i/>
      <w:iCs/>
      <w:sz w:val="24"/>
      <w:szCs w:val="24"/>
      <w:lang w:eastAsia="en-US"/>
    </w:rPr>
  </w:style>
  <w:style w:type="character" w:customStyle="1" w:styleId="Heading9Char">
    <w:name w:val="Heading 9 Char"/>
    <w:link w:val="Heading9"/>
    <w:semiHidden/>
    <w:rsid w:val="00C578B8"/>
    <w:rPr>
      <w:rFonts w:ascii="Cambria" w:hAnsi="Cambria"/>
      <w:sz w:val="22"/>
      <w:szCs w:val="22"/>
      <w:lang w:eastAsia="en-US"/>
    </w:rPr>
  </w:style>
  <w:style w:type="character" w:styleId="HTMLAcronym">
    <w:name w:val="HTML Acronym"/>
    <w:basedOn w:val="DefaultParagraphFont"/>
    <w:rsid w:val="00C578B8"/>
  </w:style>
  <w:style w:type="paragraph" w:styleId="HTMLAddress">
    <w:name w:val="HTML Address"/>
    <w:basedOn w:val="Normal"/>
    <w:link w:val="HTMLAddressChar"/>
    <w:rsid w:val="00C578B8"/>
    <w:rPr>
      <w:i/>
      <w:iCs/>
    </w:rPr>
  </w:style>
  <w:style w:type="character" w:customStyle="1" w:styleId="HTMLAddressChar">
    <w:name w:val="HTML Address Char"/>
    <w:link w:val="HTMLAddress"/>
    <w:rsid w:val="00C578B8"/>
    <w:rPr>
      <w:rFonts w:ascii="Arial" w:hAnsi="Arial"/>
      <w:i/>
      <w:iCs/>
      <w:sz w:val="24"/>
      <w:szCs w:val="24"/>
      <w:lang w:eastAsia="en-US"/>
    </w:rPr>
  </w:style>
  <w:style w:type="character" w:styleId="HTMLCite">
    <w:name w:val="HTML Cite"/>
    <w:rsid w:val="00C578B8"/>
    <w:rPr>
      <w:i/>
      <w:iCs/>
    </w:rPr>
  </w:style>
  <w:style w:type="character" w:styleId="HTMLCode">
    <w:name w:val="HTML Code"/>
    <w:rsid w:val="00C578B8"/>
    <w:rPr>
      <w:rFonts w:ascii="Courier New" w:hAnsi="Courier New" w:cs="Courier New"/>
      <w:sz w:val="20"/>
      <w:szCs w:val="20"/>
    </w:rPr>
  </w:style>
  <w:style w:type="character" w:styleId="HTMLDefinition">
    <w:name w:val="HTML Definition"/>
    <w:rsid w:val="00C578B8"/>
    <w:rPr>
      <w:i/>
      <w:iCs/>
    </w:rPr>
  </w:style>
  <w:style w:type="character" w:styleId="HTMLKeyboard">
    <w:name w:val="HTML Keyboard"/>
    <w:rsid w:val="00C578B8"/>
    <w:rPr>
      <w:rFonts w:ascii="Courier New" w:hAnsi="Courier New" w:cs="Courier New"/>
      <w:sz w:val="20"/>
      <w:szCs w:val="20"/>
    </w:rPr>
  </w:style>
  <w:style w:type="paragraph" w:styleId="HTMLPreformatted">
    <w:name w:val="HTML Preformatted"/>
    <w:basedOn w:val="Normal"/>
    <w:link w:val="HTMLPreformattedChar"/>
    <w:rsid w:val="00C578B8"/>
    <w:rPr>
      <w:rFonts w:ascii="Courier New" w:hAnsi="Courier New" w:cs="Courier New"/>
      <w:sz w:val="20"/>
      <w:szCs w:val="20"/>
    </w:rPr>
  </w:style>
  <w:style w:type="character" w:customStyle="1" w:styleId="HTMLPreformattedChar">
    <w:name w:val="HTML Preformatted Char"/>
    <w:link w:val="HTMLPreformatted"/>
    <w:rsid w:val="00C578B8"/>
    <w:rPr>
      <w:rFonts w:ascii="Courier New" w:hAnsi="Courier New" w:cs="Courier New"/>
      <w:lang w:eastAsia="en-US"/>
    </w:rPr>
  </w:style>
  <w:style w:type="character" w:styleId="HTMLSample">
    <w:name w:val="HTML Sample"/>
    <w:rsid w:val="00C578B8"/>
    <w:rPr>
      <w:rFonts w:ascii="Courier New" w:hAnsi="Courier New" w:cs="Courier New"/>
    </w:rPr>
  </w:style>
  <w:style w:type="character" w:styleId="HTMLTypewriter">
    <w:name w:val="HTML Typewriter"/>
    <w:rsid w:val="00C578B8"/>
    <w:rPr>
      <w:rFonts w:ascii="Courier New" w:hAnsi="Courier New" w:cs="Courier New"/>
      <w:sz w:val="20"/>
      <w:szCs w:val="20"/>
    </w:rPr>
  </w:style>
  <w:style w:type="character" w:styleId="HTMLVariable">
    <w:name w:val="HTML Variable"/>
    <w:rsid w:val="00C578B8"/>
    <w:rPr>
      <w:i/>
      <w:iCs/>
    </w:rPr>
  </w:style>
  <w:style w:type="character" w:styleId="Hyperlink">
    <w:name w:val="Hyperlink"/>
    <w:rsid w:val="00C578B8"/>
    <w:rPr>
      <w:color w:val="0000FF"/>
      <w:u w:val="single"/>
    </w:rPr>
  </w:style>
  <w:style w:type="paragraph" w:styleId="Index1">
    <w:name w:val="index 1"/>
    <w:basedOn w:val="Normal"/>
    <w:next w:val="Normal"/>
    <w:autoRedefine/>
    <w:rsid w:val="00C578B8"/>
    <w:pPr>
      <w:ind w:left="240" w:hanging="240"/>
    </w:pPr>
  </w:style>
  <w:style w:type="paragraph" w:styleId="Index2">
    <w:name w:val="index 2"/>
    <w:basedOn w:val="Normal"/>
    <w:next w:val="Normal"/>
    <w:autoRedefine/>
    <w:rsid w:val="00C578B8"/>
    <w:pPr>
      <w:ind w:left="480" w:hanging="240"/>
    </w:pPr>
  </w:style>
  <w:style w:type="paragraph" w:styleId="Index3">
    <w:name w:val="index 3"/>
    <w:basedOn w:val="Normal"/>
    <w:next w:val="Normal"/>
    <w:autoRedefine/>
    <w:rsid w:val="00C578B8"/>
    <w:pPr>
      <w:ind w:left="720" w:hanging="240"/>
    </w:pPr>
  </w:style>
  <w:style w:type="paragraph" w:styleId="Index4">
    <w:name w:val="index 4"/>
    <w:basedOn w:val="Normal"/>
    <w:next w:val="Normal"/>
    <w:autoRedefine/>
    <w:rsid w:val="00C578B8"/>
    <w:pPr>
      <w:ind w:left="960" w:hanging="240"/>
    </w:pPr>
  </w:style>
  <w:style w:type="paragraph" w:styleId="Index5">
    <w:name w:val="index 5"/>
    <w:basedOn w:val="Normal"/>
    <w:next w:val="Normal"/>
    <w:autoRedefine/>
    <w:rsid w:val="00C578B8"/>
    <w:pPr>
      <w:ind w:left="1200" w:hanging="240"/>
    </w:pPr>
  </w:style>
  <w:style w:type="paragraph" w:styleId="Index6">
    <w:name w:val="index 6"/>
    <w:basedOn w:val="Normal"/>
    <w:next w:val="Normal"/>
    <w:autoRedefine/>
    <w:rsid w:val="00C578B8"/>
    <w:pPr>
      <w:ind w:left="1440" w:hanging="240"/>
    </w:pPr>
  </w:style>
  <w:style w:type="paragraph" w:styleId="Index7">
    <w:name w:val="index 7"/>
    <w:basedOn w:val="Normal"/>
    <w:next w:val="Normal"/>
    <w:autoRedefine/>
    <w:rsid w:val="00C578B8"/>
    <w:pPr>
      <w:ind w:left="1680" w:hanging="240"/>
    </w:pPr>
  </w:style>
  <w:style w:type="paragraph" w:styleId="Index8">
    <w:name w:val="index 8"/>
    <w:basedOn w:val="Normal"/>
    <w:next w:val="Normal"/>
    <w:autoRedefine/>
    <w:rsid w:val="00C578B8"/>
    <w:pPr>
      <w:ind w:left="1920" w:hanging="240"/>
    </w:pPr>
  </w:style>
  <w:style w:type="paragraph" w:styleId="Index9">
    <w:name w:val="index 9"/>
    <w:basedOn w:val="Normal"/>
    <w:next w:val="Normal"/>
    <w:autoRedefine/>
    <w:rsid w:val="00C578B8"/>
    <w:pPr>
      <w:ind w:left="2160" w:hanging="240"/>
    </w:pPr>
  </w:style>
  <w:style w:type="paragraph" w:styleId="IndexHeading">
    <w:name w:val="index heading"/>
    <w:basedOn w:val="Normal"/>
    <w:next w:val="Index1"/>
    <w:rsid w:val="00C578B8"/>
    <w:rPr>
      <w:rFonts w:ascii="Cambria" w:hAnsi="Cambria"/>
      <w:b/>
      <w:bCs/>
    </w:rPr>
  </w:style>
  <w:style w:type="character" w:styleId="IntenseEmphasis">
    <w:name w:val="Intense Emphasis"/>
    <w:uiPriority w:val="21"/>
    <w:rsid w:val="00C578B8"/>
    <w:rPr>
      <w:b/>
      <w:bCs/>
      <w:i/>
      <w:iCs/>
      <w:color w:val="4F81BD"/>
    </w:rPr>
  </w:style>
  <w:style w:type="paragraph" w:styleId="IntenseQuote">
    <w:name w:val="Intense Quote"/>
    <w:basedOn w:val="Normal"/>
    <w:next w:val="Normal"/>
    <w:link w:val="IntenseQuoteChar"/>
    <w:uiPriority w:val="30"/>
    <w:rsid w:val="00C578B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78B8"/>
    <w:rPr>
      <w:rFonts w:ascii="Arial" w:hAnsi="Arial"/>
      <w:b/>
      <w:bCs/>
      <w:i/>
      <w:iCs/>
      <w:color w:val="4F81BD"/>
      <w:sz w:val="24"/>
      <w:szCs w:val="24"/>
      <w:lang w:eastAsia="en-US"/>
    </w:rPr>
  </w:style>
  <w:style w:type="character" w:styleId="IntenseReference">
    <w:name w:val="Intense Reference"/>
    <w:uiPriority w:val="32"/>
    <w:rsid w:val="00C578B8"/>
    <w:rPr>
      <w:b/>
      <w:bCs/>
      <w:smallCaps/>
      <w:color w:val="C0504D"/>
      <w:spacing w:val="5"/>
      <w:u w:val="single"/>
    </w:rPr>
  </w:style>
  <w:style w:type="character" w:styleId="LineNumber">
    <w:name w:val="line number"/>
    <w:basedOn w:val="DefaultParagraphFont"/>
    <w:rsid w:val="00C578B8"/>
  </w:style>
  <w:style w:type="paragraph" w:styleId="List">
    <w:name w:val="List"/>
    <w:basedOn w:val="Normal"/>
    <w:rsid w:val="00C578B8"/>
    <w:pPr>
      <w:ind w:left="283" w:hanging="283"/>
      <w:contextualSpacing/>
    </w:pPr>
  </w:style>
  <w:style w:type="paragraph" w:styleId="List2">
    <w:name w:val="List 2"/>
    <w:basedOn w:val="Normal"/>
    <w:rsid w:val="00C578B8"/>
    <w:pPr>
      <w:ind w:left="566" w:hanging="283"/>
      <w:contextualSpacing/>
    </w:pPr>
  </w:style>
  <w:style w:type="paragraph" w:styleId="List3">
    <w:name w:val="List 3"/>
    <w:basedOn w:val="Normal"/>
    <w:rsid w:val="00C578B8"/>
    <w:pPr>
      <w:ind w:left="849" w:hanging="283"/>
      <w:contextualSpacing/>
    </w:pPr>
  </w:style>
  <w:style w:type="paragraph" w:styleId="List4">
    <w:name w:val="List 4"/>
    <w:basedOn w:val="Normal"/>
    <w:rsid w:val="00C578B8"/>
    <w:pPr>
      <w:ind w:left="1132" w:hanging="283"/>
      <w:contextualSpacing/>
    </w:pPr>
  </w:style>
  <w:style w:type="paragraph" w:styleId="List5">
    <w:name w:val="List 5"/>
    <w:basedOn w:val="Normal"/>
    <w:rsid w:val="00C578B8"/>
    <w:pPr>
      <w:ind w:left="1415" w:hanging="283"/>
      <w:contextualSpacing/>
    </w:pPr>
  </w:style>
  <w:style w:type="paragraph" w:styleId="ListBullet">
    <w:name w:val="List Bullet"/>
    <w:basedOn w:val="Normal"/>
    <w:rsid w:val="00C578B8"/>
    <w:pPr>
      <w:numPr>
        <w:numId w:val="1"/>
      </w:numPr>
      <w:contextualSpacing/>
    </w:pPr>
  </w:style>
  <w:style w:type="paragraph" w:styleId="ListBullet2">
    <w:name w:val="List Bullet 2"/>
    <w:basedOn w:val="Normal"/>
    <w:rsid w:val="00C578B8"/>
    <w:pPr>
      <w:numPr>
        <w:numId w:val="2"/>
      </w:numPr>
      <w:contextualSpacing/>
    </w:pPr>
  </w:style>
  <w:style w:type="paragraph" w:styleId="ListBullet3">
    <w:name w:val="List Bullet 3"/>
    <w:basedOn w:val="Normal"/>
    <w:rsid w:val="00C578B8"/>
    <w:pPr>
      <w:numPr>
        <w:numId w:val="3"/>
      </w:numPr>
      <w:contextualSpacing/>
    </w:pPr>
  </w:style>
  <w:style w:type="paragraph" w:styleId="ListBullet4">
    <w:name w:val="List Bullet 4"/>
    <w:basedOn w:val="Normal"/>
    <w:rsid w:val="00C578B8"/>
    <w:pPr>
      <w:numPr>
        <w:numId w:val="4"/>
      </w:numPr>
      <w:contextualSpacing/>
    </w:pPr>
  </w:style>
  <w:style w:type="paragraph" w:styleId="ListBullet5">
    <w:name w:val="List Bullet 5"/>
    <w:basedOn w:val="Normal"/>
    <w:rsid w:val="00C578B8"/>
    <w:pPr>
      <w:numPr>
        <w:numId w:val="5"/>
      </w:numPr>
      <w:contextualSpacing/>
    </w:pPr>
  </w:style>
  <w:style w:type="paragraph" w:styleId="ListContinue">
    <w:name w:val="List Continue"/>
    <w:basedOn w:val="Normal"/>
    <w:rsid w:val="00C578B8"/>
    <w:pPr>
      <w:spacing w:after="120"/>
      <w:ind w:left="283"/>
      <w:contextualSpacing/>
    </w:pPr>
  </w:style>
  <w:style w:type="paragraph" w:styleId="ListContinue2">
    <w:name w:val="List Continue 2"/>
    <w:basedOn w:val="Normal"/>
    <w:rsid w:val="00C578B8"/>
    <w:pPr>
      <w:spacing w:after="120"/>
      <w:ind w:left="566"/>
      <w:contextualSpacing/>
    </w:pPr>
  </w:style>
  <w:style w:type="paragraph" w:styleId="ListContinue3">
    <w:name w:val="List Continue 3"/>
    <w:basedOn w:val="Normal"/>
    <w:rsid w:val="00C578B8"/>
    <w:pPr>
      <w:spacing w:after="120"/>
      <w:ind w:left="849"/>
      <w:contextualSpacing/>
    </w:pPr>
  </w:style>
  <w:style w:type="paragraph" w:styleId="ListContinue4">
    <w:name w:val="List Continue 4"/>
    <w:basedOn w:val="Normal"/>
    <w:rsid w:val="00C578B8"/>
    <w:pPr>
      <w:spacing w:after="120"/>
      <w:ind w:left="1132"/>
      <w:contextualSpacing/>
    </w:pPr>
  </w:style>
  <w:style w:type="paragraph" w:styleId="ListContinue5">
    <w:name w:val="List Continue 5"/>
    <w:basedOn w:val="Normal"/>
    <w:rsid w:val="00C578B8"/>
    <w:pPr>
      <w:spacing w:after="120"/>
      <w:ind w:left="1415"/>
      <w:contextualSpacing/>
    </w:pPr>
  </w:style>
  <w:style w:type="paragraph" w:styleId="ListNumber">
    <w:name w:val="List Number"/>
    <w:basedOn w:val="Normal"/>
    <w:rsid w:val="00C578B8"/>
    <w:pPr>
      <w:numPr>
        <w:numId w:val="6"/>
      </w:numPr>
      <w:contextualSpacing/>
    </w:pPr>
  </w:style>
  <w:style w:type="paragraph" w:styleId="ListNumber2">
    <w:name w:val="List Number 2"/>
    <w:basedOn w:val="Normal"/>
    <w:rsid w:val="00C578B8"/>
    <w:pPr>
      <w:numPr>
        <w:numId w:val="7"/>
      </w:numPr>
      <w:contextualSpacing/>
    </w:pPr>
  </w:style>
  <w:style w:type="paragraph" w:styleId="ListNumber3">
    <w:name w:val="List Number 3"/>
    <w:basedOn w:val="Normal"/>
    <w:rsid w:val="00C578B8"/>
    <w:pPr>
      <w:numPr>
        <w:numId w:val="8"/>
      </w:numPr>
      <w:contextualSpacing/>
    </w:pPr>
  </w:style>
  <w:style w:type="paragraph" w:styleId="ListNumber4">
    <w:name w:val="List Number 4"/>
    <w:basedOn w:val="Normal"/>
    <w:rsid w:val="00C578B8"/>
    <w:pPr>
      <w:numPr>
        <w:numId w:val="9"/>
      </w:numPr>
      <w:contextualSpacing/>
    </w:pPr>
  </w:style>
  <w:style w:type="paragraph" w:styleId="ListNumber5">
    <w:name w:val="List Number 5"/>
    <w:basedOn w:val="Normal"/>
    <w:rsid w:val="00C578B8"/>
    <w:pPr>
      <w:numPr>
        <w:numId w:val="10"/>
      </w:numPr>
      <w:contextualSpacing/>
    </w:pPr>
  </w:style>
  <w:style w:type="paragraph" w:styleId="ListParagraph">
    <w:name w:val="List Paragraph"/>
    <w:basedOn w:val="Normal"/>
    <w:uiPriority w:val="34"/>
    <w:rsid w:val="00C578B8"/>
    <w:pPr>
      <w:ind w:left="720"/>
    </w:pPr>
  </w:style>
  <w:style w:type="paragraph" w:styleId="MacroText">
    <w:name w:val="macro"/>
    <w:link w:val="MacroTextChar"/>
    <w:rsid w:val="00C578B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character" w:customStyle="1" w:styleId="MacroTextChar">
    <w:name w:val="Macro Text Char"/>
    <w:link w:val="MacroText"/>
    <w:rsid w:val="00C578B8"/>
    <w:rPr>
      <w:rFonts w:ascii="Courier New" w:hAnsi="Courier New" w:cs="Courier New"/>
      <w:lang w:eastAsia="en-US"/>
    </w:rPr>
  </w:style>
  <w:style w:type="paragraph" w:styleId="MessageHeader">
    <w:name w:val="Message Header"/>
    <w:basedOn w:val="Normal"/>
    <w:link w:val="MessageHeaderChar"/>
    <w:rsid w:val="00C578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C578B8"/>
    <w:rPr>
      <w:rFonts w:ascii="Cambria" w:hAnsi="Cambria"/>
      <w:sz w:val="24"/>
      <w:szCs w:val="24"/>
      <w:shd w:val="pct20" w:color="auto" w:fill="auto"/>
      <w:lang w:eastAsia="en-US"/>
    </w:rPr>
  </w:style>
  <w:style w:type="paragraph" w:styleId="NoSpacing">
    <w:name w:val="No Spacing"/>
    <w:uiPriority w:val="1"/>
    <w:rsid w:val="00C578B8"/>
    <w:pPr>
      <w:jc w:val="both"/>
    </w:pPr>
    <w:rPr>
      <w:rFonts w:ascii="Arial" w:hAnsi="Arial"/>
      <w:sz w:val="24"/>
      <w:szCs w:val="24"/>
      <w:lang w:eastAsia="en-US"/>
    </w:rPr>
  </w:style>
  <w:style w:type="paragraph" w:styleId="NormalWeb">
    <w:name w:val="Normal (Web)"/>
    <w:basedOn w:val="Normal"/>
    <w:rsid w:val="00C578B8"/>
    <w:rPr>
      <w:rFonts w:ascii="Times New Roman" w:hAnsi="Times New Roman"/>
    </w:rPr>
  </w:style>
  <w:style w:type="paragraph" w:styleId="NormalIndent">
    <w:name w:val="Normal Indent"/>
    <w:basedOn w:val="Normal"/>
    <w:rsid w:val="00C578B8"/>
    <w:pPr>
      <w:ind w:left="720"/>
    </w:pPr>
  </w:style>
  <w:style w:type="paragraph" w:styleId="NoteHeading">
    <w:name w:val="Note Heading"/>
    <w:basedOn w:val="Normal"/>
    <w:next w:val="Normal"/>
    <w:link w:val="NoteHeadingChar"/>
    <w:rsid w:val="00C578B8"/>
  </w:style>
  <w:style w:type="character" w:customStyle="1" w:styleId="NoteHeadingChar">
    <w:name w:val="Note Heading Char"/>
    <w:link w:val="NoteHeading"/>
    <w:rsid w:val="00C578B8"/>
    <w:rPr>
      <w:rFonts w:ascii="Arial" w:hAnsi="Arial"/>
      <w:sz w:val="24"/>
      <w:szCs w:val="24"/>
      <w:lang w:eastAsia="en-US"/>
    </w:rPr>
  </w:style>
  <w:style w:type="character" w:styleId="PageNumber">
    <w:name w:val="page number"/>
    <w:basedOn w:val="DefaultParagraphFont"/>
    <w:rsid w:val="00C578B8"/>
  </w:style>
  <w:style w:type="character" w:styleId="PlaceholderText">
    <w:name w:val="Placeholder Text"/>
    <w:uiPriority w:val="99"/>
    <w:semiHidden/>
    <w:rsid w:val="00C578B8"/>
    <w:rPr>
      <w:color w:val="808080"/>
    </w:rPr>
  </w:style>
  <w:style w:type="paragraph" w:styleId="PlainText">
    <w:name w:val="Plain Text"/>
    <w:basedOn w:val="Normal"/>
    <w:link w:val="PlainTextChar"/>
    <w:rsid w:val="00C578B8"/>
    <w:rPr>
      <w:rFonts w:ascii="Courier New" w:hAnsi="Courier New" w:cs="Courier New"/>
      <w:sz w:val="20"/>
      <w:szCs w:val="20"/>
    </w:rPr>
  </w:style>
  <w:style w:type="character" w:customStyle="1" w:styleId="PlainTextChar">
    <w:name w:val="Plain Text Char"/>
    <w:link w:val="PlainText"/>
    <w:rsid w:val="00C578B8"/>
    <w:rPr>
      <w:rFonts w:ascii="Courier New" w:hAnsi="Courier New" w:cs="Courier New"/>
      <w:lang w:eastAsia="en-US"/>
    </w:rPr>
  </w:style>
  <w:style w:type="paragraph" w:styleId="Quote">
    <w:name w:val="Quote"/>
    <w:basedOn w:val="Normal"/>
    <w:next w:val="Normal"/>
    <w:link w:val="QuoteChar"/>
    <w:uiPriority w:val="29"/>
    <w:rsid w:val="00C578B8"/>
    <w:rPr>
      <w:i/>
      <w:iCs/>
      <w:color w:val="000000"/>
    </w:rPr>
  </w:style>
  <w:style w:type="character" w:customStyle="1" w:styleId="QuoteChar">
    <w:name w:val="Quote Char"/>
    <w:link w:val="Quote"/>
    <w:uiPriority w:val="29"/>
    <w:rsid w:val="00C578B8"/>
    <w:rPr>
      <w:rFonts w:ascii="Arial" w:hAnsi="Arial"/>
      <w:i/>
      <w:iCs/>
      <w:color w:val="000000"/>
      <w:sz w:val="24"/>
      <w:szCs w:val="24"/>
      <w:lang w:eastAsia="en-US"/>
    </w:rPr>
  </w:style>
  <w:style w:type="paragraph" w:styleId="Salutation">
    <w:name w:val="Salutation"/>
    <w:basedOn w:val="Normal"/>
    <w:next w:val="Normal"/>
    <w:link w:val="SalutationChar"/>
    <w:rsid w:val="00C578B8"/>
  </w:style>
  <w:style w:type="character" w:customStyle="1" w:styleId="SalutationChar">
    <w:name w:val="Salutation Char"/>
    <w:link w:val="Salutation"/>
    <w:rsid w:val="00C578B8"/>
    <w:rPr>
      <w:rFonts w:ascii="Arial" w:hAnsi="Arial"/>
      <w:sz w:val="24"/>
      <w:szCs w:val="24"/>
      <w:lang w:eastAsia="en-US"/>
    </w:rPr>
  </w:style>
  <w:style w:type="paragraph" w:styleId="Signature">
    <w:name w:val="Signature"/>
    <w:basedOn w:val="Normal"/>
    <w:link w:val="SignatureChar"/>
    <w:rsid w:val="00C578B8"/>
    <w:pPr>
      <w:ind w:left="4252"/>
    </w:pPr>
  </w:style>
  <w:style w:type="character" w:customStyle="1" w:styleId="SignatureChar">
    <w:name w:val="Signature Char"/>
    <w:link w:val="Signature"/>
    <w:rsid w:val="00C578B8"/>
    <w:rPr>
      <w:rFonts w:ascii="Arial" w:hAnsi="Arial"/>
      <w:sz w:val="24"/>
      <w:szCs w:val="24"/>
      <w:lang w:eastAsia="en-US"/>
    </w:rPr>
  </w:style>
  <w:style w:type="character" w:styleId="Strong">
    <w:name w:val="Strong"/>
    <w:rsid w:val="00C578B8"/>
    <w:rPr>
      <w:b/>
      <w:bCs/>
    </w:rPr>
  </w:style>
  <w:style w:type="paragraph" w:styleId="Subtitle">
    <w:name w:val="Subtitle"/>
    <w:basedOn w:val="Normal"/>
    <w:next w:val="Normal"/>
    <w:link w:val="SubtitleChar"/>
    <w:rsid w:val="00C578B8"/>
    <w:pPr>
      <w:spacing w:after="60"/>
      <w:jc w:val="center"/>
      <w:outlineLvl w:val="1"/>
    </w:pPr>
    <w:rPr>
      <w:rFonts w:ascii="Cambria" w:hAnsi="Cambria"/>
    </w:rPr>
  </w:style>
  <w:style w:type="character" w:customStyle="1" w:styleId="SubtitleChar">
    <w:name w:val="Subtitle Char"/>
    <w:link w:val="Subtitle"/>
    <w:rsid w:val="00C578B8"/>
    <w:rPr>
      <w:rFonts w:ascii="Cambria" w:hAnsi="Cambria"/>
      <w:sz w:val="24"/>
      <w:szCs w:val="24"/>
      <w:lang w:eastAsia="en-US"/>
    </w:rPr>
  </w:style>
  <w:style w:type="character" w:styleId="SubtleEmphasis">
    <w:name w:val="Subtle Emphasis"/>
    <w:uiPriority w:val="19"/>
    <w:rsid w:val="00C578B8"/>
    <w:rPr>
      <w:i/>
      <w:iCs/>
      <w:color w:val="808080"/>
    </w:rPr>
  </w:style>
  <w:style w:type="character" w:styleId="SubtleReference">
    <w:name w:val="Subtle Reference"/>
    <w:uiPriority w:val="31"/>
    <w:rsid w:val="00C578B8"/>
    <w:rPr>
      <w:smallCaps/>
      <w:color w:val="C0504D"/>
      <w:u w:val="single"/>
    </w:rPr>
  </w:style>
  <w:style w:type="paragraph" w:styleId="TableofAuthorities">
    <w:name w:val="table of authorities"/>
    <w:basedOn w:val="Normal"/>
    <w:next w:val="Normal"/>
    <w:rsid w:val="00C578B8"/>
    <w:pPr>
      <w:ind w:left="240" w:hanging="240"/>
    </w:pPr>
  </w:style>
  <w:style w:type="paragraph" w:styleId="TableofFigures">
    <w:name w:val="table of figures"/>
    <w:basedOn w:val="Normal"/>
    <w:next w:val="Normal"/>
    <w:rsid w:val="00C578B8"/>
  </w:style>
  <w:style w:type="paragraph" w:styleId="Title">
    <w:name w:val="Title"/>
    <w:basedOn w:val="Normal"/>
    <w:next w:val="Normal"/>
    <w:link w:val="TitleChar"/>
    <w:rsid w:val="00C578B8"/>
    <w:pPr>
      <w:spacing w:before="240" w:after="60"/>
      <w:jc w:val="center"/>
      <w:outlineLvl w:val="0"/>
    </w:pPr>
    <w:rPr>
      <w:rFonts w:ascii="Cambria" w:hAnsi="Cambria"/>
      <w:b/>
      <w:bCs/>
      <w:kern w:val="28"/>
      <w:sz w:val="32"/>
      <w:szCs w:val="32"/>
    </w:rPr>
  </w:style>
  <w:style w:type="character" w:customStyle="1" w:styleId="TitleChar">
    <w:name w:val="Title Char"/>
    <w:link w:val="Title"/>
    <w:rsid w:val="00C578B8"/>
    <w:rPr>
      <w:rFonts w:ascii="Cambria" w:hAnsi="Cambria"/>
      <w:b/>
      <w:bCs/>
      <w:kern w:val="28"/>
      <w:sz w:val="32"/>
      <w:szCs w:val="32"/>
      <w:lang w:eastAsia="en-US"/>
    </w:rPr>
  </w:style>
  <w:style w:type="paragraph" w:styleId="TOAHeading">
    <w:name w:val="toa heading"/>
    <w:basedOn w:val="Normal"/>
    <w:next w:val="Normal"/>
    <w:rsid w:val="00C578B8"/>
    <w:pPr>
      <w:spacing w:before="120"/>
    </w:pPr>
    <w:rPr>
      <w:rFonts w:ascii="Cambria" w:hAnsi="Cambria"/>
      <w:b/>
      <w:bCs/>
    </w:rPr>
  </w:style>
  <w:style w:type="paragraph" w:styleId="TOC1">
    <w:name w:val="toc 1"/>
    <w:basedOn w:val="Normal"/>
    <w:next w:val="Normal"/>
    <w:autoRedefine/>
    <w:rsid w:val="00C578B8"/>
  </w:style>
  <w:style w:type="paragraph" w:styleId="TOC2">
    <w:name w:val="toc 2"/>
    <w:basedOn w:val="Normal"/>
    <w:next w:val="Normal"/>
    <w:autoRedefine/>
    <w:rsid w:val="00C578B8"/>
    <w:pPr>
      <w:ind w:left="240"/>
    </w:pPr>
  </w:style>
  <w:style w:type="paragraph" w:styleId="TOC3">
    <w:name w:val="toc 3"/>
    <w:basedOn w:val="Normal"/>
    <w:next w:val="Normal"/>
    <w:autoRedefine/>
    <w:rsid w:val="00C578B8"/>
    <w:pPr>
      <w:ind w:left="480"/>
    </w:pPr>
  </w:style>
  <w:style w:type="paragraph" w:styleId="TOC4">
    <w:name w:val="toc 4"/>
    <w:basedOn w:val="Normal"/>
    <w:next w:val="Normal"/>
    <w:autoRedefine/>
    <w:rsid w:val="00C578B8"/>
    <w:pPr>
      <w:ind w:left="720"/>
    </w:pPr>
  </w:style>
  <w:style w:type="paragraph" w:styleId="TOC5">
    <w:name w:val="toc 5"/>
    <w:basedOn w:val="Normal"/>
    <w:next w:val="Normal"/>
    <w:autoRedefine/>
    <w:rsid w:val="00C578B8"/>
    <w:pPr>
      <w:ind w:left="960"/>
    </w:pPr>
  </w:style>
  <w:style w:type="paragraph" w:styleId="TOC6">
    <w:name w:val="toc 6"/>
    <w:basedOn w:val="Normal"/>
    <w:next w:val="Normal"/>
    <w:autoRedefine/>
    <w:rsid w:val="00C578B8"/>
    <w:pPr>
      <w:ind w:left="1200"/>
    </w:pPr>
  </w:style>
  <w:style w:type="paragraph" w:styleId="TOC7">
    <w:name w:val="toc 7"/>
    <w:basedOn w:val="Normal"/>
    <w:next w:val="Normal"/>
    <w:autoRedefine/>
    <w:rsid w:val="00C578B8"/>
    <w:pPr>
      <w:ind w:left="1440"/>
    </w:pPr>
  </w:style>
  <w:style w:type="paragraph" w:styleId="TOC8">
    <w:name w:val="toc 8"/>
    <w:basedOn w:val="Normal"/>
    <w:next w:val="Normal"/>
    <w:autoRedefine/>
    <w:rsid w:val="00C578B8"/>
    <w:pPr>
      <w:ind w:left="1680"/>
    </w:pPr>
  </w:style>
  <w:style w:type="paragraph" w:styleId="TOC9">
    <w:name w:val="toc 9"/>
    <w:basedOn w:val="Normal"/>
    <w:next w:val="Normal"/>
    <w:autoRedefine/>
    <w:rsid w:val="00C578B8"/>
    <w:pPr>
      <w:ind w:left="1920"/>
    </w:pPr>
  </w:style>
  <w:style w:type="paragraph" w:styleId="TOCHeading">
    <w:name w:val="TOC Heading"/>
    <w:basedOn w:val="Heading1"/>
    <w:next w:val="Normal"/>
    <w:uiPriority w:val="39"/>
    <w:semiHidden/>
    <w:unhideWhenUsed/>
    <w:rsid w:val="00C578B8"/>
    <w:pPr>
      <w:keepLines w:val="0"/>
      <w:spacing w:before="240" w:after="60"/>
      <w:outlineLvl w:val="9"/>
    </w:pPr>
    <w:rPr>
      <w:rFonts w:ascii="Cambria" w:hAnsi="Cambria"/>
      <w:color w:val="auto"/>
      <w:kern w:val="32"/>
      <w:szCs w:val="32"/>
    </w:rPr>
  </w:style>
  <w:style w:type="table" w:styleId="ColorfulGrid">
    <w:name w:val="Colorful Grid"/>
    <w:basedOn w:val="TableNormal"/>
    <w:uiPriority w:val="73"/>
    <w:rsid w:val="0067005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7005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7005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7005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7005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7005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7005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67005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7005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7005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7005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7005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7005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7005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67005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7005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7005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7005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7005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7005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7005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67005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7005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7005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7005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7005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7005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7005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67005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7005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7005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7005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7005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7005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7005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67005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700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7005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7005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7005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7005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7005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6700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7005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7005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7005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7005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7005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7005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67005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7005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7005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7005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7005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7005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7005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67005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7005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7005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7005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7005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7005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7005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700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67005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7005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7005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7005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7005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7005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7005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67005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7005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7005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7005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7005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7005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7005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67005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7005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7005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7005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7005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7005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7005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700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67005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005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005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005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005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005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005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005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005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005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005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005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005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005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005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005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005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0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67005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005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005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005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005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005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005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005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005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005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005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005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005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005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005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005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005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005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005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005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005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005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00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005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005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005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title">
    <w:name w:val="Footer title"/>
    <w:basedOn w:val="Footer"/>
    <w:rsid w:val="00084FA0"/>
    <w:pPr>
      <w:tabs>
        <w:tab w:val="clear" w:pos="4153"/>
        <w:tab w:val="clear" w:pos="8306"/>
        <w:tab w:val="center" w:pos="4320"/>
        <w:tab w:val="right" w:pos="8640"/>
      </w:tabs>
      <w:spacing w:after="160"/>
      <w:jc w:val="left"/>
    </w:pPr>
    <w:rPr>
      <w:color w:val="385479"/>
      <w:sz w:val="14"/>
      <w:szCs w:val="20"/>
      <w:lang w:val="en-US"/>
    </w:rPr>
  </w:style>
  <w:style w:type="character" w:customStyle="1" w:styleId="FooterChar">
    <w:name w:val="Footer Char"/>
    <w:link w:val="Footer"/>
    <w:rsid w:val="009E2C94"/>
    <w:rPr>
      <w:rFonts w:ascii="Arial" w:hAnsi="Arial"/>
      <w:sz w:val="24"/>
      <w:szCs w:val="24"/>
      <w:lang w:eastAsia="en-US"/>
    </w:rPr>
  </w:style>
  <w:style w:type="table" w:styleId="GridTable2-Accent2">
    <w:name w:val="Grid Table 2 Accent 2"/>
    <w:basedOn w:val="TableNormal"/>
    <w:uiPriority w:val="47"/>
    <w:rsid w:val="003440D5"/>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3-Accent2">
    <w:name w:val="Grid Table 3 Accent 2"/>
    <w:basedOn w:val="TableNormal"/>
    <w:uiPriority w:val="48"/>
    <w:rsid w:val="0024139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4-Accent2">
    <w:name w:val="Grid Table 4 Accent 2"/>
    <w:basedOn w:val="TableNormal"/>
    <w:uiPriority w:val="49"/>
    <w:rsid w:val="0024139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5Dark-Accent2">
    <w:name w:val="Grid Table 5 Dark Accent 2"/>
    <w:basedOn w:val="TableNormal"/>
    <w:uiPriority w:val="50"/>
    <w:rsid w:val="00124AB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25511704">
      <w:bodyDiv w:val="1"/>
      <w:marLeft w:val="0"/>
      <w:marRight w:val="0"/>
      <w:marTop w:val="0"/>
      <w:marBottom w:val="0"/>
      <w:divBdr>
        <w:top w:val="none" w:sz="0" w:space="0" w:color="auto"/>
        <w:left w:val="none" w:sz="0" w:space="0" w:color="auto"/>
        <w:bottom w:val="none" w:sz="0" w:space="0" w:color="auto"/>
        <w:right w:val="none" w:sz="0" w:space="0" w:color="auto"/>
      </w:divBdr>
    </w:div>
    <w:div w:id="163253840">
      <w:bodyDiv w:val="1"/>
      <w:marLeft w:val="0"/>
      <w:marRight w:val="0"/>
      <w:marTop w:val="0"/>
      <w:marBottom w:val="0"/>
      <w:divBdr>
        <w:top w:val="none" w:sz="0" w:space="0" w:color="auto"/>
        <w:left w:val="none" w:sz="0" w:space="0" w:color="auto"/>
        <w:bottom w:val="none" w:sz="0" w:space="0" w:color="auto"/>
        <w:right w:val="none" w:sz="0" w:space="0" w:color="auto"/>
      </w:divBdr>
    </w:div>
    <w:div w:id="772550203">
      <w:bodyDiv w:val="1"/>
      <w:marLeft w:val="0"/>
      <w:marRight w:val="0"/>
      <w:marTop w:val="0"/>
      <w:marBottom w:val="0"/>
      <w:divBdr>
        <w:top w:val="none" w:sz="0" w:space="0" w:color="auto"/>
        <w:left w:val="none" w:sz="0" w:space="0" w:color="auto"/>
        <w:bottom w:val="none" w:sz="0" w:space="0" w:color="auto"/>
        <w:right w:val="none" w:sz="0" w:space="0" w:color="auto"/>
      </w:divBdr>
    </w:div>
    <w:div w:id="935753673">
      <w:bodyDiv w:val="1"/>
      <w:marLeft w:val="0"/>
      <w:marRight w:val="0"/>
      <w:marTop w:val="0"/>
      <w:marBottom w:val="0"/>
      <w:divBdr>
        <w:top w:val="none" w:sz="0" w:space="0" w:color="auto"/>
        <w:left w:val="none" w:sz="0" w:space="0" w:color="auto"/>
        <w:bottom w:val="none" w:sz="0" w:space="0" w:color="auto"/>
        <w:right w:val="none" w:sz="0" w:space="0" w:color="auto"/>
      </w:divBdr>
    </w:div>
    <w:div w:id="1388215414">
      <w:bodyDiv w:val="1"/>
      <w:marLeft w:val="0"/>
      <w:marRight w:val="0"/>
      <w:marTop w:val="0"/>
      <w:marBottom w:val="0"/>
      <w:divBdr>
        <w:top w:val="none" w:sz="0" w:space="0" w:color="auto"/>
        <w:left w:val="none" w:sz="0" w:space="0" w:color="auto"/>
        <w:bottom w:val="none" w:sz="0" w:space="0" w:color="auto"/>
        <w:right w:val="none" w:sz="0" w:space="0" w:color="auto"/>
      </w:divBdr>
    </w:div>
    <w:div w:id="1918441905">
      <w:bodyDiv w:val="1"/>
      <w:marLeft w:val="0"/>
      <w:marRight w:val="0"/>
      <w:marTop w:val="0"/>
      <w:marBottom w:val="0"/>
      <w:divBdr>
        <w:top w:val="none" w:sz="0" w:space="0" w:color="auto"/>
        <w:left w:val="none" w:sz="0" w:space="0" w:color="auto"/>
        <w:bottom w:val="none" w:sz="0" w:space="0" w:color="auto"/>
        <w:right w:val="none" w:sz="0" w:space="0" w:color="auto"/>
      </w:divBdr>
    </w:div>
    <w:div w:id="206282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L:\PRD\Templates\TPNoCov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c37dfbe-9a1a-4235-abd7-8bc54474f3d7" ContentTypeId="0x0101000AC6246A9CD2FC45B52DC6FEC0F0AAAA" PreviousValue="false"/>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rDocsVersionReason xmlns="0c56a47d-469b-460c-81a1-345d54cdeeee">Remove Under consideration projects</OurDocsVersionReason>
    <OurDocsVersionCreatedAt xmlns="0c56a47d-469b-460c-81a1-345d54cdeeee">2020-03-31T08:04:26+00:00</OurDocsVersionCreatedAt>
    <OurDocsDocId xmlns="0c56a47d-469b-460c-81a1-345d54cdeeee">000519policy.economic</OurDocsDocId>
    <OurDocsDocumentSource xmlns="0c56a47d-469b-460c-81a1-345d54cdeeee">Internal</OurDocsDocumentSource>
    <OurDocsFileNumbers xmlns="0c56a47d-469b-460c-81a1-345d54cdeeee" xsi:nil="true"/>
    <OurDocsLocation xmlns="0c56a47d-469b-460c-81a1-345d54cdeeee">Perth</OurDocsLocation>
    <OurDocsDataStore xmlns="0c56a47d-469b-460c-81a1-345d54cdeeee">Central</OurDocsDataStore>
    <OurDocsReleaseClassification xmlns="0c56a47d-469b-460c-81a1-345d54cdeeee">For Public Release</OurDocsReleaseClassification>
    <OurDocsTitle xmlns="0c56a47d-469b-460c-81a1-345d54cdeeee">WA Battery Minerals Profile - Master</OurDocsTitle>
    <OurDocsLockedOnBehalfOf xmlns="0c56a47d-469b-460c-81a1-345d54cdeeee" xsi:nil="true"/>
    <OurDocsVersionNumber xmlns="0c56a47d-469b-460c-81a1-345d54cdeeee">2</OurDocsVersionNumber>
    <OurDocsAuthor xmlns="0c56a47d-469b-460c-81a1-345d54cdeeee">THOMAS, Mike</OurDocsAuthor>
    <OurDocsDescription xmlns="0c56a47d-469b-460c-81a1-345d54cdeeee">
Formerly Central/000503policy.data/1</OurDocsDescription>
    <OurDocsVersionCreatedBy xmlns="0c56a47d-469b-460c-81a1-345d54cdeeee">MICSDLF</OurDocsVersionCreatedBy>
    <OurDocsIsLocked xmlns="0c56a47d-469b-460c-81a1-345d54cdeeee">false</OurDocsIsLocked>
    <OurDocsDocumentType xmlns="0c56a47d-469b-460c-81a1-345d54cdeeee">Web Document</OurDocsDocumentType>
    <OurDocsIsRecordsDocument xmlns="0c56a47d-469b-460c-81a1-345d54cdeeee">false</OurDocsIsRecordsDocument>
    <OurDocsDocumentDate xmlns="0c56a47d-469b-460c-81a1-345d54cdeeee">2019-07-04T16:00:00+00:00</OurDocsDocumentDate>
    <OurDocsLockedBy xmlns="0c56a47d-469b-460c-81a1-345d54cdeeee" xsi:nil="true"/>
    <OurDocsLockedOn xmlns="0c56a47d-469b-460c-81a1-345d54cdeee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C1D6-16EF-47C5-B6CE-7684756E9A39}">
  <ds:schemaRefs>
    <ds:schemaRef ds:uri="http://schemas.microsoft.com/sharepoint/v3/contenttype/forms"/>
  </ds:schemaRefs>
</ds:datastoreItem>
</file>

<file path=customXml/itemProps2.xml><?xml version="1.0" encoding="utf-8"?>
<ds:datastoreItem xmlns:ds="http://schemas.openxmlformats.org/officeDocument/2006/customXml" ds:itemID="{90FE4CDE-B922-422B-805B-AEBF62B8722C}">
  <ds:schemaRefs>
    <ds:schemaRef ds:uri="Microsoft.SharePoint.Taxonomy.ContentTypeSync"/>
  </ds:schemaRefs>
</ds:datastoreItem>
</file>

<file path=customXml/itemProps3.xml><?xml version="1.0" encoding="utf-8"?>
<ds:datastoreItem xmlns:ds="http://schemas.openxmlformats.org/officeDocument/2006/customXml" ds:itemID="{681F92AE-9A56-405F-8291-409D5C67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B2DC3-6EF5-44A7-AEB8-8D143B093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c56a47d-469b-460c-81a1-345d54cdeeee"/>
    <ds:schemaRef ds:uri="http://www.w3.org/XML/1998/namespace"/>
    <ds:schemaRef ds:uri="http://purl.org/dc/dcmitype/"/>
  </ds:schemaRefs>
</ds:datastoreItem>
</file>

<file path=customXml/itemProps5.xml><?xml version="1.0" encoding="utf-8"?>
<ds:datastoreItem xmlns:ds="http://schemas.openxmlformats.org/officeDocument/2006/customXml" ds:itemID="{5D07E820-CA57-4F6B-9C28-88751BD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TPNoCover</Template>
  <TotalTime>1</TotalTime>
  <Pages>4</Pages>
  <Words>1878</Words>
  <Characters>10875</Characters>
  <Application>Microsoft Office Word</Application>
  <DocSecurity>0</DocSecurity>
  <Lines>543</Lines>
  <Paragraphs>398</Paragraphs>
  <ScaleCrop>false</ScaleCrop>
  <HeadingPairs>
    <vt:vector size="2" baseType="variant">
      <vt:variant>
        <vt:lpstr>Title</vt:lpstr>
      </vt:variant>
      <vt:variant>
        <vt:i4>1</vt:i4>
      </vt:variant>
    </vt:vector>
  </HeadingPairs>
  <TitlesOfParts>
    <vt:vector size="1" baseType="lpstr">
      <vt:lpstr>WA Battery Minerals Profile - Master</vt:lpstr>
    </vt:vector>
  </TitlesOfParts>
  <Company>Department of Industry and Resources</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Battery Minerals Profile - Master</dc:title>
  <dc:subject>Formerly Central/000503policy.data/1</dc:subject>
  <dc:creator>THOMAS, Mike</dc:creator>
  <cp:keywords/>
  <dc:description/>
  <cp:lastModifiedBy>THOMAS, Mike</cp:lastModifiedBy>
  <cp:revision>2</cp:revision>
  <cp:lastPrinted>2019-08-22T01:32:00Z</cp:lastPrinted>
  <dcterms:created xsi:type="dcterms:W3CDTF">2020-11-02T03:43:00Z</dcterms:created>
  <dcterms:modified xsi:type="dcterms:W3CDTF">2020-11-02T03:43:00Z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RecordsDocument">
    <vt:bool>true</vt:bool>
  </property>
  <property fmtid="{D5CDD505-2E9C-101B-9397-08002B2CF9AE}" pid="3" name="ContentTypeId">
    <vt:lpwstr>0x0101000AC6246A9CD2FC45B52DC6FEC0F0AAAA002C39F3B3B96C1F4B98517E6443C184DE</vt:lpwstr>
  </property>
  <property fmtid="{D5CDD505-2E9C-101B-9397-08002B2CF9AE}" pid="4" name="DataStore">
    <vt:lpwstr>Central</vt:lpwstr>
  </property>
</Properties>
</file>